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3">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4">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Mi Escuela es un Espacio Seguro</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8">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Sujeto Obligado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A">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Secretaría de Seguridad del Estado de México  (SSEM)</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E">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Tipo de Sujeto Obligado </w:t>
            </w:r>
            <w:r w:rsidDel="00000000" w:rsidR="00000000" w:rsidRPr="00000000">
              <w:rPr>
                <w:rFonts w:ascii="Palatino Linotype" w:cs="Palatino Linotype" w:eastAsia="Palatino Linotype" w:hAnsi="Palatino Linotype"/>
                <w:i w:val="1"/>
                <w:rtl w:val="0"/>
              </w:rPr>
              <w:t xml:space="preserve">(Poder Ejecutivo, Poder Legislativo, Poder Judicial, Organismo Autónomo, Partido Político, Sindicato, etc.)</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0">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Poder Ejecutivo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4">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Área responsable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6">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Unidad de Transparencia</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A">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Titular de la Unidad de Transparencia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Mtro. Guillermo Juan de Dios Sánchez Aguirre</w:t>
            </w:r>
          </w:p>
          <w:p w:rsidR="00000000" w:rsidDel="00000000" w:rsidP="00000000" w:rsidRDefault="00000000" w:rsidRPr="00000000" w14:paraId="0000001C">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Encargado de la Unidad de Transparencia</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20">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ind w:right="-7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r>
    </w:tbl>
    <w:p w:rsidR="00000000" w:rsidDel="00000000" w:rsidP="00000000" w:rsidRDefault="00000000" w:rsidRPr="00000000" w14:paraId="0000002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6">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CARACTERÍSTICAS DE LA PRÁCTICA DE TRANSPARENCIA PROACTIVA: </w:t>
      </w:r>
    </w:p>
    <w:p w:rsidR="00000000" w:rsidDel="00000000" w:rsidP="00000000" w:rsidRDefault="00000000" w:rsidRPr="00000000" w14:paraId="00000027">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Señale el año en que surgió y si se encuentra vigente: </w:t>
      </w:r>
    </w:p>
    <w:p w:rsidR="00000000" w:rsidDel="00000000" w:rsidP="00000000" w:rsidRDefault="00000000" w:rsidRPr="00000000" w14:paraId="00000028">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 práctica surge en el año 2025 como parte de la renovación del Programa Mi Escuela es un Espacio Seguro.</w:t>
      </w:r>
    </w:p>
    <w:p w:rsidR="00000000" w:rsidDel="00000000" w:rsidP="00000000" w:rsidRDefault="00000000" w:rsidRPr="00000000" w14:paraId="00000029">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Explique el objetivo de dicha práctica: </w:t>
      </w:r>
    </w:p>
    <w:p w:rsidR="00000000" w:rsidDel="00000000" w:rsidP="00000000" w:rsidRDefault="00000000" w:rsidRPr="00000000" w14:paraId="0000002A">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Ofrecer información a la ciudadanía respecto al Programa Mi Escuela es un Espacio Seguro y prevención del bullying, está orientado </w:t>
        <w:tab/>
        <w:t xml:space="preserve">a fortalecer entornos escolares a través de brindar información sobre la conformación de diferentes practicas o acciones coordinadas de prevención que se realizan, a fin de fomentar una cultura de la legalidad, la paz y la corresponsabilidad social dentro y fuera de los planteles educativos. </w:t>
      </w:r>
    </w:p>
    <w:p w:rsidR="00000000" w:rsidDel="00000000" w:rsidP="00000000" w:rsidRDefault="00000000" w:rsidRPr="00000000" w14:paraId="0000002B">
      <w:pPr>
        <w:ind w:left="-425"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3. Indique qué es y cómo funciona </w:t>
      </w:r>
      <w:r w:rsidDel="00000000" w:rsidR="00000000" w:rsidRPr="00000000">
        <w:rPr>
          <w:rFonts w:ascii="Palatino Linotype" w:cs="Palatino Linotype" w:eastAsia="Palatino Linotype" w:hAnsi="Palatino Linotype"/>
          <w:b w:val="1"/>
          <w:i w:val="1"/>
          <w:rtl w:val="0"/>
        </w:rPr>
        <w:t xml:space="preserve">( Por ejemplo: es un Micrositio, pláticas que se llevaron a cabo en …, etc):</w:t>
      </w:r>
    </w:p>
    <w:p w:rsidR="00000000" w:rsidDel="00000000" w:rsidP="00000000" w:rsidRDefault="00000000" w:rsidRPr="00000000" w14:paraId="0000002C">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Esta práctica se implementa a través de la creación de un Micrositio como mecanismo de apoyo para brindar información a la ciudadanía en general, a las escuelas, padres y madres de familia y alumnos respecto al Programa Mi Escuela es un Espacio Seguro y la prevención del bullying. </w:t>
      </w:r>
    </w:p>
    <w:p w:rsidR="00000000" w:rsidDel="00000000" w:rsidP="00000000" w:rsidRDefault="00000000" w:rsidRPr="00000000" w14:paraId="0000002D">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rtl w:val="0"/>
        </w:rPr>
        <w:t xml:space="preserve">4. Describa los contenidos, temas o información publicados como parte de la práctica:</w:t>
      </w:r>
      <w:r w:rsidDel="00000000" w:rsidR="00000000" w:rsidRPr="00000000">
        <w:rPr>
          <w:rtl w:val="0"/>
        </w:rPr>
      </w:r>
    </w:p>
    <w:p w:rsidR="00000000" w:rsidDel="00000000" w:rsidP="00000000" w:rsidRDefault="00000000" w:rsidRPr="00000000" w14:paraId="0000002E">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El micrositio forma parte del Sitio Web de la Secretaría de Seguridad, disponible en el siguiente enlace: </w:t>
      </w:r>
      <w:hyperlink r:id="rId7">
        <w:r w:rsidDel="00000000" w:rsidR="00000000" w:rsidRPr="00000000">
          <w:rPr>
            <w:rFonts w:ascii="Palatino Linotype" w:cs="Palatino Linotype" w:eastAsia="Palatino Linotype" w:hAnsi="Palatino Linotype"/>
            <w:b w:val="1"/>
            <w:color w:val="0563c1"/>
            <w:u w:val="single"/>
            <w:rtl w:val="0"/>
          </w:rPr>
          <w:t xml:space="preserve">https://sseguridad.edomex.gob.mx/escuela_segura</w:t>
        </w:r>
      </w:hyperlink>
      <w:r w:rsidDel="00000000" w:rsidR="00000000" w:rsidRPr="00000000">
        <w:rPr>
          <w:rFonts w:ascii="Palatino Linotype" w:cs="Palatino Linotype" w:eastAsia="Palatino Linotype" w:hAnsi="Palatino Linotype"/>
          <w:b w:val="1"/>
          <w:u w:val="single"/>
          <w:rtl w:val="0"/>
        </w:rPr>
        <w:t xml:space="preserve">.  </w:t>
      </w:r>
    </w:p>
    <w:p w:rsidR="00000000" w:rsidDel="00000000" w:rsidP="00000000" w:rsidRDefault="00000000" w:rsidRPr="00000000" w14:paraId="0000002F">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Está conformado por 5 apartados: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Objetivo y definición</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¿Cómo sumarse?</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Medidas de Prevención</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Manual de operación</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Estadísticas </w:t>
      </w:r>
    </w:p>
    <w:p w:rsidR="00000000" w:rsidDel="00000000" w:rsidP="00000000" w:rsidRDefault="00000000" w:rsidRPr="00000000" w14:paraId="00000035">
      <w:pPr>
        <w:ind w:left="-426"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Este micrositio contiene información respecto al Programa en mención, así como su normatividad, estadísticas y medidas de prevención respecto al Acoso Escolar (Bullying), con la finalidad de fomentar una cultura de la legalidad, la paz y la corresponsabilidad social dentro y fuera de los planteles educativos. </w:t>
      </w:r>
    </w:p>
    <w:p w:rsidR="00000000" w:rsidDel="00000000" w:rsidP="00000000" w:rsidRDefault="00000000" w:rsidRPr="00000000" w14:paraId="00000036">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Describa el motivo por el que surgió:  </w:t>
      </w:r>
    </w:p>
    <w:p w:rsidR="00000000" w:rsidDel="00000000" w:rsidP="00000000" w:rsidRDefault="00000000" w:rsidRPr="00000000" w14:paraId="00000037">
      <w:pPr>
        <w:ind w:left="-425"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Su creación surge de la necesidad de contar con un espacio en el que se brinde información a las escuelas que participan en el Programa, así como respecto al acoso escolar y medidas de prevención en diferentes temáticas. </w:t>
      </w:r>
    </w:p>
    <w:p w:rsidR="00000000" w:rsidDel="00000000" w:rsidP="00000000" w:rsidRDefault="00000000" w:rsidRPr="00000000" w14:paraId="00000038">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 Enuncie los beneficios generados a partir de su implementación: </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Difusión de la importancia de la prevención del acoso escolar.</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Acceso a información clara y actualizada del Programa.</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brinda información respecto a conferencias que ofrece la Unidad de Vinculación, Comunicación Social y Relaciones Públicas. </w:t>
      </w:r>
    </w:p>
    <w:p w:rsidR="00000000" w:rsidDel="00000000" w:rsidP="00000000" w:rsidRDefault="00000000" w:rsidRPr="00000000" w14:paraId="0000003C">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Explica de qué manera la práctica cumple con los atributos de calidad de la información, publicados en los Lineamientos de Implementación y Evaluación de Transparencia Proactiva y que se refieren a:</w:t>
      </w:r>
    </w:p>
    <w:tbl>
      <w:tblPr>
        <w:tblStyle w:val="Table2"/>
        <w:tblW w:w="8828.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3827"/>
        <w:gridCol w:w="4439"/>
        <w:tblGridChange w:id="0">
          <w:tblGrid>
            <w:gridCol w:w="562"/>
            <w:gridCol w:w="3827"/>
            <w:gridCol w:w="4439"/>
          </w:tblGrid>
        </w:tblGridChange>
      </w:tblGrid>
      <w:tr>
        <w:trPr>
          <w:cantSplit w:val="0"/>
          <w:tblHeader w:val="0"/>
        </w:trPr>
        <w:tc>
          <w:tcPr>
            <w:shd w:fill="d9d9d9" w:val="clear"/>
          </w:tcPr>
          <w:p w:rsidR="00000000" w:rsidDel="00000000" w:rsidP="00000000" w:rsidRDefault="00000000" w:rsidRPr="00000000" w14:paraId="0000003D">
            <w:pPr>
              <w:jc w:val="both"/>
              <w:rPr>
                <w:rFonts w:ascii="Palatino Linotype" w:cs="Palatino Linotype" w:eastAsia="Palatino Linotype" w:hAnsi="Palatino Linotype"/>
                <w:b w:val="1"/>
              </w:rPr>
            </w:pPr>
            <w:r w:rsidDel="00000000" w:rsidR="00000000" w:rsidRPr="00000000">
              <w:rPr>
                <w:rtl w:val="0"/>
              </w:rPr>
            </w:r>
          </w:p>
        </w:tc>
        <w:tc>
          <w:tcPr>
            <w:shd w:fill="d9d9d9" w:val="clear"/>
          </w:tcPr>
          <w:p w:rsidR="00000000" w:rsidDel="00000000" w:rsidP="00000000" w:rsidRDefault="00000000" w:rsidRPr="00000000" w14:paraId="0000003E">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Atributo de Calidad</w:t>
            </w:r>
          </w:p>
        </w:tc>
        <w:tc>
          <w:tcPr>
            <w:shd w:fill="d9d9d9" w:val="clear"/>
          </w:tcPr>
          <w:p w:rsidR="00000000" w:rsidDel="00000000" w:rsidP="00000000" w:rsidRDefault="00000000" w:rsidRPr="00000000" w14:paraId="0000003F">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Explicación</w:t>
            </w:r>
          </w:p>
        </w:tc>
      </w:tr>
      <w:tr>
        <w:trPr>
          <w:cantSplit w:val="0"/>
          <w:tblHeader w:val="0"/>
        </w:trPr>
        <w:tc>
          <w:tcPr>
            <w:shd w:fill="d9d9d9" w:val="clear"/>
          </w:tcPr>
          <w:p w:rsidR="00000000" w:rsidDel="00000000" w:rsidP="00000000" w:rsidRDefault="00000000" w:rsidRPr="00000000" w14:paraId="0000004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w:t>
            </w:r>
          </w:p>
        </w:tc>
        <w:tc>
          <w:tcPr>
            <w:shd w:fill="d9d9d9" w:val="clear"/>
          </w:tcPr>
          <w:p w:rsidR="00000000" w:rsidDel="00000000" w:rsidP="00000000" w:rsidRDefault="00000000" w:rsidRPr="00000000" w14:paraId="00000041">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tc>
        <w:tc>
          <w:tcPr/>
          <w:p w:rsidR="00000000" w:rsidDel="00000000" w:rsidP="00000000" w:rsidRDefault="00000000" w:rsidRPr="00000000" w14:paraId="00000042">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información se encuentra disponible en el Sitio Web de la Secretaría de Seguridad a todo el público.  </w:t>
            </w:r>
          </w:p>
        </w:tc>
      </w:tr>
      <w:tr>
        <w:trPr>
          <w:cantSplit w:val="0"/>
          <w:tblHeader w:val="0"/>
        </w:trPr>
        <w:tc>
          <w:tcPr>
            <w:shd w:fill="d9d9d9" w:val="clear"/>
          </w:tcPr>
          <w:p w:rsidR="00000000" w:rsidDel="00000000" w:rsidP="00000000" w:rsidRDefault="00000000" w:rsidRPr="00000000" w14:paraId="0000004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w:t>
            </w:r>
          </w:p>
        </w:tc>
        <w:tc>
          <w:tcPr>
            <w:shd w:fill="d9d9d9" w:val="clear"/>
          </w:tcPr>
          <w:p w:rsidR="00000000" w:rsidDel="00000000" w:rsidP="00000000" w:rsidRDefault="00000000" w:rsidRPr="00000000" w14:paraId="00000044">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tc>
        <w:tc>
          <w:tcPr/>
          <w:p w:rsidR="00000000" w:rsidDel="00000000" w:rsidP="00000000" w:rsidRDefault="00000000" w:rsidRPr="00000000" w14:paraId="0000004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colocaron las fuentes de la información presentada, así como la Gaceta de la operación del Programa. </w:t>
            </w:r>
          </w:p>
        </w:tc>
      </w:tr>
      <w:tr>
        <w:trPr>
          <w:cantSplit w:val="0"/>
          <w:tblHeader w:val="0"/>
        </w:trPr>
        <w:tc>
          <w:tcPr>
            <w:shd w:fill="d9d9d9" w:val="clear"/>
          </w:tcPr>
          <w:p w:rsidR="00000000" w:rsidDel="00000000" w:rsidP="00000000" w:rsidRDefault="00000000" w:rsidRPr="00000000" w14:paraId="00000046">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w:t>
            </w:r>
          </w:p>
        </w:tc>
        <w:tc>
          <w:tcPr>
            <w:shd w:fill="d9d9d9" w:val="clear"/>
          </w:tcPr>
          <w:p w:rsidR="00000000" w:rsidDel="00000000" w:rsidP="00000000" w:rsidRDefault="00000000" w:rsidRPr="00000000" w14:paraId="00000047">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tc>
        <w:tc>
          <w:tcPr/>
          <w:p w:rsidR="00000000" w:rsidDel="00000000" w:rsidP="00000000" w:rsidRDefault="00000000" w:rsidRPr="00000000" w14:paraId="00000048">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presenta de forma sintetizada, con un lenguaje sencillo para facilitar su comprensión e iconos predecibles para su fácil navegación.</w:t>
            </w:r>
          </w:p>
        </w:tc>
      </w:tr>
      <w:tr>
        <w:trPr>
          <w:cantSplit w:val="0"/>
          <w:tblHeader w:val="0"/>
        </w:trPr>
        <w:tc>
          <w:tcPr>
            <w:shd w:fill="d9d9d9" w:val="clear"/>
          </w:tcPr>
          <w:p w:rsidR="00000000" w:rsidDel="00000000" w:rsidP="00000000" w:rsidRDefault="00000000" w:rsidRPr="00000000" w14:paraId="00000049">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w:t>
            </w:r>
          </w:p>
        </w:tc>
        <w:tc>
          <w:tcPr>
            <w:shd w:fill="d9d9d9" w:val="clear"/>
          </w:tcPr>
          <w:p w:rsidR="00000000" w:rsidDel="00000000" w:rsidP="00000000" w:rsidRDefault="00000000" w:rsidRPr="00000000" w14:paraId="0000004A">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tc>
        <w:tc>
          <w:tcPr/>
          <w:p w:rsidR="00000000" w:rsidDel="00000000" w:rsidP="00000000" w:rsidRDefault="00000000" w:rsidRPr="00000000" w14:paraId="0000004B">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integración de los Comités del Programa se presenta a fin de año por lo que se publicó de forma oportuna. </w:t>
            </w:r>
          </w:p>
        </w:tc>
      </w:tr>
      <w:tr>
        <w:trPr>
          <w:cantSplit w:val="0"/>
          <w:tblHeader w:val="0"/>
        </w:trPr>
        <w:tc>
          <w:tcPr>
            <w:shd w:fill="d9d9d9" w:val="clear"/>
          </w:tcPr>
          <w:p w:rsidR="00000000" w:rsidDel="00000000" w:rsidP="00000000" w:rsidRDefault="00000000" w:rsidRPr="00000000" w14:paraId="0000004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p>
        </w:tc>
        <w:tc>
          <w:tcPr>
            <w:shd w:fill="d9d9d9" w:val="clear"/>
          </w:tcPr>
          <w:p w:rsidR="00000000" w:rsidDel="00000000" w:rsidP="00000000" w:rsidRDefault="00000000" w:rsidRPr="00000000" w14:paraId="0000004D">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tc>
        <w:tc>
          <w:tcPr/>
          <w:p w:rsidR="00000000" w:rsidDel="00000000" w:rsidP="00000000" w:rsidRDefault="00000000" w:rsidRPr="00000000" w14:paraId="0000004E">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presentan las fuentes para garantizar su veracidad.</w:t>
            </w:r>
          </w:p>
        </w:tc>
      </w:tr>
      <w:tr>
        <w:trPr>
          <w:cantSplit w:val="0"/>
          <w:tblHeader w:val="0"/>
        </w:trPr>
        <w:tc>
          <w:tcPr>
            <w:shd w:fill="d9d9d9" w:val="clear"/>
          </w:tcPr>
          <w:p w:rsidR="00000000" w:rsidDel="00000000" w:rsidP="00000000" w:rsidRDefault="00000000" w:rsidRPr="00000000" w14:paraId="0000004F">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w:t>
            </w:r>
          </w:p>
        </w:tc>
        <w:tc>
          <w:tcPr>
            <w:shd w:fill="d9d9d9" w:val="clear"/>
          </w:tcPr>
          <w:p w:rsidR="00000000" w:rsidDel="00000000" w:rsidP="00000000" w:rsidRDefault="00000000" w:rsidRPr="00000000" w14:paraId="00000050">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tc>
        <w:tc>
          <w:tcPr/>
          <w:p w:rsidR="00000000" w:rsidDel="00000000" w:rsidP="00000000" w:rsidRDefault="00000000" w:rsidRPr="00000000" w14:paraId="0000005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mantiene la congruencia ya que contine información con base en Manual de Operación del Programa “Mi Escuela es un Espacio Seguro” y se muestran evidencias de acuerdo con las actividades realizadas.</w:t>
            </w:r>
          </w:p>
        </w:tc>
      </w:tr>
      <w:tr>
        <w:trPr>
          <w:cantSplit w:val="0"/>
          <w:tblHeader w:val="0"/>
        </w:trPr>
        <w:tc>
          <w:tcPr>
            <w:shd w:fill="d9d9d9" w:val="clear"/>
          </w:tcPr>
          <w:p w:rsidR="00000000" w:rsidDel="00000000" w:rsidP="00000000" w:rsidRDefault="00000000" w:rsidRPr="00000000" w14:paraId="00000052">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w:t>
            </w:r>
          </w:p>
        </w:tc>
        <w:tc>
          <w:tcPr>
            <w:shd w:fill="d9d9d9" w:val="clear"/>
          </w:tcPr>
          <w:p w:rsidR="00000000" w:rsidDel="00000000" w:rsidP="00000000" w:rsidRDefault="00000000" w:rsidRPr="00000000" w14:paraId="00000053">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tc>
        <w:tc>
          <w:tcPr/>
          <w:p w:rsidR="00000000" w:rsidDel="00000000" w:rsidP="00000000" w:rsidRDefault="00000000" w:rsidRPr="00000000" w14:paraId="0000005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presenta toda la información respecto al Programa, se incluyen además estadísticas, contador de visitas, datos abiertos y encuesta de satisfacción.</w:t>
            </w:r>
          </w:p>
        </w:tc>
      </w:tr>
      <w:tr>
        <w:trPr>
          <w:cantSplit w:val="0"/>
          <w:tblHeader w:val="0"/>
        </w:trPr>
        <w:tc>
          <w:tcPr>
            <w:shd w:fill="d9d9d9" w:val="clear"/>
          </w:tcPr>
          <w:p w:rsidR="00000000" w:rsidDel="00000000" w:rsidP="00000000" w:rsidRDefault="00000000" w:rsidRPr="00000000" w14:paraId="0000005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p>
        </w:tc>
        <w:tc>
          <w:tcPr>
            <w:shd w:fill="d9d9d9" w:val="clear"/>
          </w:tcPr>
          <w:p w:rsidR="00000000" w:rsidDel="00000000" w:rsidP="00000000" w:rsidRDefault="00000000" w:rsidRPr="00000000" w14:paraId="00000056">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Actualizada</w:t>
            </w:r>
          </w:p>
        </w:tc>
        <w:tc>
          <w:tcPr/>
          <w:p w:rsidR="00000000" w:rsidDel="00000000" w:rsidP="00000000" w:rsidRDefault="00000000" w:rsidRPr="00000000" w14:paraId="0000005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información fue publicada y se actualiza conforme a la generación de la misma.</w:t>
            </w:r>
          </w:p>
        </w:tc>
      </w:tr>
      <w:tr>
        <w:trPr>
          <w:cantSplit w:val="0"/>
          <w:tblHeader w:val="0"/>
        </w:trPr>
        <w:tc>
          <w:tcPr>
            <w:shd w:fill="d9d9d9" w:val="clear"/>
          </w:tcPr>
          <w:p w:rsidR="00000000" w:rsidDel="00000000" w:rsidP="00000000" w:rsidRDefault="00000000" w:rsidRPr="00000000" w14:paraId="00000058">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w:t>
            </w:r>
          </w:p>
        </w:tc>
        <w:tc>
          <w:tcPr>
            <w:shd w:fill="d9d9d9" w:val="clear"/>
          </w:tcPr>
          <w:p w:rsidR="00000000" w:rsidDel="00000000" w:rsidP="00000000" w:rsidRDefault="00000000" w:rsidRPr="00000000" w14:paraId="00000059">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tc>
        <w:tc>
          <w:tcPr/>
          <w:p w:rsidR="00000000" w:rsidDel="00000000" w:rsidP="00000000" w:rsidRDefault="00000000" w:rsidRPr="00000000" w14:paraId="0000005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agregan las fuentes y enlaces de referencia de la información publicada. </w:t>
            </w:r>
          </w:p>
        </w:tc>
      </w:tr>
      <w:tr>
        <w:trPr>
          <w:cantSplit w:val="0"/>
          <w:tblHeader w:val="0"/>
        </w:trPr>
        <w:tc>
          <w:tcPr>
            <w:shd w:fill="d9d9d9" w:val="clear"/>
          </w:tcPr>
          <w:p w:rsidR="00000000" w:rsidDel="00000000" w:rsidP="00000000" w:rsidRDefault="00000000" w:rsidRPr="00000000" w14:paraId="0000005B">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w:t>
            </w:r>
          </w:p>
        </w:tc>
        <w:tc>
          <w:tcPr>
            <w:shd w:fill="d9d9d9" w:val="clear"/>
          </w:tcPr>
          <w:p w:rsidR="00000000" w:rsidDel="00000000" w:rsidP="00000000" w:rsidRDefault="00000000" w:rsidRPr="00000000" w14:paraId="0000005C">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p w:rsidR="00000000" w:rsidDel="00000000" w:rsidP="00000000" w:rsidRDefault="00000000" w:rsidRPr="00000000" w14:paraId="0000005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Contiene estadísticas e información de fácil reutilización.</w:t>
            </w:r>
          </w:p>
        </w:tc>
      </w:tr>
    </w:tbl>
    <w:p w:rsidR="00000000" w:rsidDel="00000000" w:rsidP="00000000" w:rsidRDefault="00000000" w:rsidRPr="00000000" w14:paraId="0000005E">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F">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0">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1">
      <w:pPr>
        <w:ind w:left="-425" w:firstLine="0"/>
        <w:jc w:val="both"/>
        <w:rPr>
          <w:rFonts w:ascii="Palatino Linotype" w:cs="Palatino Linotype" w:eastAsia="Palatino Linotype" w:hAnsi="Palatino Linotype"/>
          <w:b w:val="1"/>
        </w:rPr>
      </w:pPr>
      <w:bookmarkStart w:colFirst="0" w:colLast="0" w:name="_heading=h.qxzniqxkvfvd" w:id="0"/>
      <w:bookmarkEnd w:id="0"/>
      <w:r w:rsidDel="00000000" w:rsidR="00000000" w:rsidRPr="00000000">
        <w:rPr>
          <w:rtl w:val="0"/>
        </w:rPr>
      </w:r>
    </w:p>
    <w:p w:rsidR="00000000" w:rsidDel="00000000" w:rsidP="00000000" w:rsidRDefault="00000000" w:rsidRPr="00000000" w14:paraId="00000062">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3">
      <w:pPr>
        <w:ind w:left="-425" w:firstLine="0"/>
        <w:jc w:val="both"/>
        <w:rPr>
          <w:rFonts w:ascii="Palatino Linotype" w:cs="Palatino Linotype" w:eastAsia="Palatino Linotype" w:hAnsi="Palatino Linotype"/>
          <w:b w:val="1"/>
        </w:rPr>
      </w:pPr>
      <w:r w:rsidDel="00000000" w:rsidR="00000000" w:rsidRPr="00000000">
        <w:rPr>
          <w:rtl w:val="0"/>
        </w:rPr>
      </w:r>
    </w:p>
    <w:tbl>
      <w:tblPr>
        <w:tblStyle w:val="Table3"/>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93"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4">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Indique de qué manera cumple con los objetivos su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8">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Disminuir asimetrías de la información </w:t>
            </w:r>
          </w:p>
          <w:p w:rsidR="00000000" w:rsidDel="00000000" w:rsidP="00000000" w:rsidRDefault="00000000" w:rsidRPr="00000000" w14:paraId="00000069">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6A">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B">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Mejorar el acceso a trámites o servicios</w:t>
            </w:r>
          </w:p>
          <w:p w:rsidR="00000000" w:rsidDel="00000000" w:rsidP="00000000" w:rsidRDefault="00000000" w:rsidRPr="00000000" w14:paraId="0000006C">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6D">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E">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Optimizar la toma de decisiones de autoridades, ciudadanos o de la población en general</w:t>
            </w:r>
          </w:p>
          <w:p w:rsidR="00000000" w:rsidDel="00000000" w:rsidP="00000000" w:rsidRDefault="00000000" w:rsidRPr="00000000" w14:paraId="0000006F">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70">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1">
            <w:pPr>
              <w:spacing w:after="0" w:lineRule="auto"/>
              <w:ind w:left="-566"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Detonar la rendición de cuentas efectiva</w:t>
            </w:r>
          </w:p>
          <w:p w:rsidR="00000000" w:rsidDel="00000000" w:rsidP="00000000" w:rsidRDefault="00000000" w:rsidRPr="00000000" w14:paraId="00000072">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73">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ind w:left="-683"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Sí, ya que se publicó información, actualizada, relevante y de acceso a toda la población.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ind w:left="-71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ya que brinda información detallada respecto a la integración de Comités del Programa Mi Escuela es un Espacio Seguro y en relación con las conferencias que se ofertan.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ind w:left="-69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Si, la información publicada auxilia en la toma de decisiones de directivos y personal administrativo de los diferentes planteles educativos del Estado de México, además establece conceptos para identificar posibles actos que se puedan evitar.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691"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ya que se incluyen estadísticas de las actividades realizadas en el marco del Programa.</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8">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Observaciones: </w:t>
            </w:r>
            <w:r w:rsidDel="00000000" w:rsidR="00000000" w:rsidRPr="00000000">
              <w:rPr>
                <w:rFonts w:ascii="Palatino Linotype" w:cs="Palatino Linotype" w:eastAsia="Palatino Linotype" w:hAnsi="Palatino Linotype"/>
                <w:i w:val="1"/>
                <w:rtl w:val="0"/>
              </w:rPr>
              <w:t xml:space="preserve">(anote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80">
      <w:pPr>
        <w:rPr>
          <w:rFonts w:ascii="Palatino Linotype" w:cs="Palatino Linotype" w:eastAsia="Palatino Linotype" w:hAnsi="Palatino Linotype"/>
          <w:b w:val="1"/>
          <w:highlight w:val="yellow"/>
        </w:rPr>
      </w:pPr>
      <w:r w:rsidDel="00000000" w:rsidR="00000000" w:rsidRPr="00000000">
        <w:rPr>
          <w:rtl w:val="0"/>
        </w:rPr>
      </w:r>
    </w:p>
    <w:tbl>
      <w:tblPr>
        <w:tblStyle w:val="Table4"/>
        <w:tblW w:w="10087.0" w:type="dxa"/>
        <w:jc w:val="center"/>
        <w:tblLayout w:type="fixed"/>
        <w:tblLook w:val="0400"/>
      </w:tblPr>
      <w:tblGrid>
        <w:gridCol w:w="4770"/>
        <w:gridCol w:w="1321"/>
        <w:gridCol w:w="1191"/>
        <w:gridCol w:w="1275"/>
        <w:gridCol w:w="1530"/>
        <w:tblGridChange w:id="0">
          <w:tblGrid>
            <w:gridCol w:w="4770"/>
            <w:gridCol w:w="1321"/>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1">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 ¿La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2">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86">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de que la respuesta sea afirmativa, indique a cuál sector se enfoca: </w:t>
            </w:r>
          </w:p>
        </w:tc>
      </w:tr>
      <w:tr>
        <w:trPr>
          <w:cantSplit w:val="0"/>
          <w:trHeight w:val="31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El programa está dirigido a estudiantes de educación básica y autoridades educativas.</w:t>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90">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92">
            <w:pPr>
              <w:rPr>
                <w:rFonts w:ascii="Palatino Linotype" w:cs="Palatino Linotype" w:eastAsia="Palatino Linotype" w:hAnsi="Palatino Linotype"/>
                <w:b w:val="1"/>
              </w:rPr>
            </w:pPr>
            <w:r w:rsidDel="00000000" w:rsidR="00000000" w:rsidRPr="00000000">
              <w:rPr>
                <w:rtl w:val="0"/>
              </w:rPr>
            </w:r>
          </w:p>
        </w:tc>
      </w:tr>
      <w:tr>
        <w:trPr>
          <w:cantSplit w:val="0"/>
          <w:trHeight w:val="30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Como parte de la implementación del Programa se imparten conferencias, pláticas y talleres a alumnos de educación básica. </w:t>
            </w:r>
          </w:p>
        </w:tc>
      </w:tr>
    </w:tbl>
    <w:p w:rsidR="00000000" w:rsidDel="00000000" w:rsidP="00000000" w:rsidRDefault="00000000" w:rsidRPr="00000000" w14:paraId="0000009A">
      <w:pPr>
        <w:rPr>
          <w:rFonts w:ascii="Palatino Linotype" w:cs="Palatino Linotype" w:eastAsia="Palatino Linotype" w:hAnsi="Palatino Linotype"/>
          <w:b w:val="1"/>
        </w:rPr>
      </w:pPr>
      <w:r w:rsidDel="00000000" w:rsidR="00000000" w:rsidRPr="00000000">
        <w:rPr>
          <w:rtl w:val="0"/>
        </w:rPr>
      </w:r>
    </w:p>
    <w:tbl>
      <w:tblPr>
        <w:tblStyle w:val="Table5"/>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B">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 ¿La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0">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 participación de la ciudadanía se registra a través de la evaluación que realizan mediante el formulario publicado en el Micrositio, disponible en el sitio web de la Secretaría de Seguridad.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A">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Adjuntar  y nombrar la evidencia o hipervínculo de la participación (pueden ser minutas o actas de trabajo, evidencias fotográficas, videos, etc.)</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rPr>
                <w:rFonts w:ascii="Palatino Linotype" w:cs="Palatino Linotype" w:eastAsia="Palatino Linotype" w:hAnsi="Palatino Linotype"/>
                <w:b w:val="1"/>
              </w:rPr>
            </w:pPr>
            <w:hyperlink r:id="rId8">
              <w:r w:rsidDel="00000000" w:rsidR="00000000" w:rsidRPr="00000000">
                <w:rPr>
                  <w:rFonts w:ascii="Palatino Linotype" w:cs="Palatino Linotype" w:eastAsia="Palatino Linotype" w:hAnsi="Palatino Linotype"/>
                  <w:b w:val="1"/>
                  <w:color w:val="0563c1"/>
                  <w:u w:val="single"/>
                  <w:rtl w:val="0"/>
                </w:rPr>
                <w:t xml:space="preserve">https://sseguridad.edomex.gob.mx/escuela_segura</w:t>
              </w:r>
            </w:hyperlink>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B0">
            <w:pPr>
              <w:rPr>
                <w:rFonts w:ascii="Palatino Linotype" w:cs="Palatino Linotype" w:eastAsia="Palatino Linotype" w:hAnsi="Palatino Linotype"/>
                <w:b w:val="1"/>
              </w:rPr>
            </w:pPr>
            <w:hyperlink r:id="rId9">
              <w:r w:rsidDel="00000000" w:rsidR="00000000" w:rsidRPr="00000000">
                <w:rPr>
                  <w:rFonts w:ascii="Palatino Linotype" w:cs="Palatino Linotype" w:eastAsia="Palatino Linotype" w:hAnsi="Palatino Linotype"/>
                  <w:b w:val="1"/>
                  <w:color w:val="0563c1"/>
                  <w:u w:val="single"/>
                  <w:rtl w:val="0"/>
                </w:rPr>
                <w:t xml:space="preserve">https://docs.google.com/forms/d/e/1FAIpQLSddaOE71y9o11XV3aMuoqvufGnJ60OxR18KBf12RPm5OxDqnw/viewform?pli=1</w:t>
              </w:r>
            </w:hyperlink>
            <w:r w:rsidDel="00000000" w:rsidR="00000000" w:rsidRPr="00000000">
              <w:rPr>
                <w:rtl w:val="0"/>
              </w:rPr>
            </w:r>
          </w:p>
          <w:p w:rsidR="00000000" w:rsidDel="00000000" w:rsidP="00000000" w:rsidRDefault="00000000" w:rsidRPr="00000000" w14:paraId="000000B1">
            <w:pPr>
              <w:rPr>
                <w:rFonts w:ascii="Palatino Linotype" w:cs="Palatino Linotype" w:eastAsia="Palatino Linotype" w:hAnsi="Palatino Linotype"/>
                <w:b w:val="1"/>
                <w:highlight w:val="yellow"/>
              </w:rPr>
            </w:pPr>
            <w:hyperlink r:id="rId10">
              <w:r w:rsidDel="00000000" w:rsidR="00000000" w:rsidRPr="00000000">
                <w:rPr>
                  <w:rFonts w:ascii="Palatino Linotype" w:cs="Palatino Linotype" w:eastAsia="Palatino Linotype" w:hAnsi="Palatino Linotype"/>
                  <w:b w:val="1"/>
                  <w:color w:val="0563c1"/>
                  <w:u w:val="single"/>
                  <w:rtl w:val="0"/>
                </w:rPr>
                <w:t xml:space="preserve">Evaluación Mi Escuela es un Espacio Seguro</w:t>
              </w:r>
            </w:hyperlink>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B6">
            <w:pPr>
              <w:ind w:hanging="42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C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6"/>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1">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11. ¿La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C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qué demanda o necesidad atiende:</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Esta práctica de Transparencia Proactiva se considera una necesidad de información, toda vez que los Micrositios son las secciones más consultadas de forma mensual en el Sitio Web de la Secretaría de Seguridad, ya que solo en el último año obtuvo más de 120 mil visitas.</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D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D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7">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DA">
      <w:pPr>
        <w:rPr>
          <w:rFonts w:ascii="Palatino Linotype" w:cs="Palatino Linotype" w:eastAsia="Palatino Linotype" w:hAnsi="Palatino Linotype"/>
          <w:b w:val="1"/>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 </w:t>
      </w:r>
    </w:p>
    <w:tbl>
      <w:tblPr>
        <w:tblStyle w:val="Table7"/>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B">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 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E">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F">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0">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Las estadísticas con las actividades realizadas en el marco del Programa son generadas por la Unidad de Vinculación, Comunicación social y Relaciones Públicas, no se encontraba publicadas antes de la práctica de transparencia.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El Micrositio cuenta con diferentes hipervínculos a sitios oficiales del Gobierno de México que se encuentra públicos y disponibles para la consulta de la ciudadanía.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Se cuenta con información referente al funcionamiento e integración de los Comités del Programa Mi escuela es un Espacio Seguro.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4">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Enlista las fuentes utilizadas y como fueron aprovechadas: </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Manual de Operación del Programa “Mi Escuela es un Espacio Seguro”, Operación del Programa.</w:t>
            </w:r>
          </w:p>
          <w:p w:rsidR="00000000" w:rsidDel="00000000" w:rsidP="00000000" w:rsidRDefault="00000000" w:rsidRPr="00000000" w14:paraId="000000E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Instituto de Salud para el Bienestar. Día Mundial contra el Bullying o Acoso Escolar, definiciones y como detectar el Bullying.</w:t>
            </w:r>
          </w:p>
          <w:p w:rsidR="00000000" w:rsidDel="00000000" w:rsidP="00000000" w:rsidRDefault="00000000" w:rsidRPr="00000000" w14:paraId="000000E9">
            <w:pPr>
              <w:ind w:left="-708" w:firstLine="0"/>
              <w:rPr>
                <w:rFonts w:ascii="Palatino Linotype" w:cs="Palatino Linotype" w:eastAsia="Palatino Linotype" w:hAnsi="Palatino Linotype"/>
                <w:b w:val="1"/>
                <w:highlight w:val="yellow"/>
              </w:rPr>
            </w:pPr>
            <w:r w:rsidDel="00000000" w:rsidR="00000000" w:rsidRPr="00000000">
              <w:rPr>
                <w:rFonts w:ascii="Palatino Linotype" w:cs="Palatino Linotype" w:eastAsia="Palatino Linotype" w:hAnsi="Palatino Linotype"/>
                <w:b w:val="1"/>
                <w:rtl w:val="0"/>
              </w:rPr>
              <w:t xml:space="preserve">Instituto de Salud del Estado de México. Bullyingn, tipos de Bullying.</w:t>
            </w:r>
            <w:r w:rsidDel="00000000" w:rsidR="00000000" w:rsidRPr="00000000">
              <w:rPr>
                <w:rtl w:val="0"/>
              </w:rPr>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F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8"/>
        <w:tblW w:w="9735.0" w:type="dxa"/>
        <w:jc w:val="center"/>
        <w:tblLayout w:type="fixed"/>
        <w:tblLook w:val="0400"/>
      </w:tblPr>
      <w:tblGrid>
        <w:gridCol w:w="4035"/>
        <w:gridCol w:w="1560"/>
        <w:gridCol w:w="1560"/>
        <w:gridCol w:w="990"/>
        <w:gridCol w:w="1590"/>
        <w:tblGridChange w:id="0">
          <w:tblGrid>
            <w:gridCol w:w="4035"/>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3">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13. ¿Se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4">
            <w:pPr>
              <w:ind w:hanging="5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6">
            <w:pPr>
              <w:ind w:left="-35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8">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mencione como se ha difundido su información generada y que medios de comunicación se utilizaron ( trípticos, volantes, radio, televisión, perifoneo, redes sociales, etc):</w:t>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información generada se difunde de forma mensual a través de la Secretaría de Educación del Estado de México, así mismo se realiza la difusión a través de las redes sociales de la Secretaría de Seguridad.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0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9"/>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14. 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1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9">
            <w:pPr>
              <w:rPr>
                <w:rFonts w:ascii="Palatino Linotype" w:cs="Palatino Linotype" w:eastAsia="Palatino Linotype" w:hAnsi="Palatino Linotype"/>
                <w:b w:val="1"/>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1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1E">
            <w:pPr>
              <w:rPr>
                <w:rFonts w:ascii="Palatino Linotype" w:cs="Palatino Linotype" w:eastAsia="Palatino Linotype" w:hAnsi="Palatino Linotype"/>
                <w:b w:val="1"/>
              </w:rPr>
            </w:pPr>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 información se presenta de forma sintetizada a fin de que sea comprensible para la población general. </w:t>
            </w:r>
          </w:p>
        </w:tc>
      </w:tr>
    </w:tbl>
    <w:p w:rsidR="00000000" w:rsidDel="00000000" w:rsidP="00000000" w:rsidRDefault="00000000" w:rsidRPr="00000000" w14:paraId="0000012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10"/>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7">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15. ¿La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A">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C">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explique el funcionamiento y uso de los mecanismos de participación (encuesta de satisfacción) utilizados:</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Micrositio cuenta con una encuesta de evaluación y satisfacción.  Los ciudadanos pueden emitir una evaluación y opinión de la información presentada, la cual servirá como herramienta de retroalimentación para fortalecer la información a difundirse, así mismo, permite medir la percepción de la ciudadanía respecto a los contenidos publicados. </w:t>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6">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hyperlink r:id="rId11">
              <w:r w:rsidDel="00000000" w:rsidR="00000000" w:rsidRPr="00000000">
                <w:rPr>
                  <w:rFonts w:ascii="Palatino Linotype" w:cs="Palatino Linotype" w:eastAsia="Palatino Linotype" w:hAnsi="Palatino Linotype"/>
                  <w:b w:val="1"/>
                  <w:color w:val="0563c1"/>
                  <w:u w:val="single"/>
                  <w:rtl w:val="0"/>
                </w:rPr>
                <w:t xml:space="preserve">https://sseguridad.edomex.gob.mx/escuela_segura</w:t>
              </w:r>
            </w:hyperlink>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3C">
            <w:pPr>
              <w:ind w:left="-708" w:firstLine="0"/>
              <w:rPr>
                <w:rFonts w:ascii="Palatino Linotype" w:cs="Palatino Linotype" w:eastAsia="Palatino Linotype" w:hAnsi="Palatino Linotype"/>
                <w:b w:val="1"/>
              </w:rPr>
            </w:pPr>
            <w:hyperlink r:id="rId12">
              <w:r w:rsidDel="00000000" w:rsidR="00000000" w:rsidRPr="00000000">
                <w:rPr>
                  <w:rFonts w:ascii="Palatino Linotype" w:cs="Palatino Linotype" w:eastAsia="Palatino Linotype" w:hAnsi="Palatino Linotype"/>
                  <w:b w:val="1"/>
                  <w:color w:val="0563c1"/>
                  <w:u w:val="single"/>
                  <w:rtl w:val="0"/>
                </w:rPr>
                <w:t xml:space="preserve">Evaluación Mi Escuela es un Espacio Seguro</w:t>
              </w:r>
            </w:hyperlink>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bl>
    <w:p w:rsidR="00000000" w:rsidDel="00000000" w:rsidP="00000000" w:rsidRDefault="00000000" w:rsidRPr="00000000" w14:paraId="00000146">
      <w:pPr>
        <w:rPr>
          <w:rFonts w:ascii="Palatino Linotype" w:cs="Palatino Linotype" w:eastAsia="Palatino Linotype" w:hAnsi="Palatino Linotype"/>
          <w:b w:val="1"/>
        </w:rPr>
      </w:pPr>
      <w:r w:rsidDel="00000000" w:rsidR="00000000" w:rsidRPr="00000000">
        <w:rPr>
          <w:rtl w:val="0"/>
        </w:rPr>
      </w:r>
    </w:p>
    <w:tbl>
      <w:tblPr>
        <w:tblStyle w:val="Table11"/>
        <w:tblW w:w="9780.0" w:type="dxa"/>
        <w:jc w:val="center"/>
        <w:tblLayout w:type="fixed"/>
        <w:tblLook w:val="0400"/>
      </w:tblPr>
      <w:tblGrid>
        <w:gridCol w:w="5280"/>
        <w:gridCol w:w="975"/>
        <w:gridCol w:w="1575"/>
        <w:gridCol w:w="975"/>
        <w:gridCol w:w="975"/>
        <w:tblGridChange w:id="0">
          <w:tblGrid>
            <w:gridCol w:w="5280"/>
            <w:gridCol w:w="975"/>
            <w:gridCol w:w="1575"/>
            <w:gridCol w:w="975"/>
            <w:gridCol w:w="975"/>
          </w:tblGrid>
        </w:tblGridChange>
      </w:tblGrid>
      <w:tr>
        <w:trPr>
          <w:cantSplit w:val="0"/>
          <w:trHeight w:val="835"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7">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16. ¿La práctica cuenta con algún registro del número de consultas realizadas a la información difundida? </w:t>
            </w:r>
            <w:r w:rsidDel="00000000" w:rsidR="00000000" w:rsidRPr="00000000">
              <w:rPr>
                <w:rFonts w:ascii="Palatino Linotype" w:cs="Palatino Linotype" w:eastAsia="Palatino Linotype" w:hAnsi="Palatino Linotype"/>
                <w:i w:val="1"/>
                <w:rtl w:val="0"/>
              </w:rPr>
              <w:t xml:space="preserve">(por ejemplo: número de visitas al sitio de la práctica, número de usuarios atendidos, entre otros mecanismos). </w:t>
            </w: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8">
            <w:pPr>
              <w:ind w:hanging="584"/>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A">
            <w:pPr>
              <w:ind w:hanging="7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2"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C">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el cumplimiento y uso que se le da al número de consultas  (contador de visitas) realizadas de la práctica: </w:t>
            </w:r>
          </w:p>
        </w:tc>
      </w:tr>
      <w:tr>
        <w:trPr>
          <w:cantSplit w:val="0"/>
          <w:trHeight w:val="220"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 colocó en el footer del Micrositio un contador con el número de visitas recibidas en el micrositio de enero de 2025 a la fecha y se actualiza con cada consulta que se realiza.  Este elemento contribuye a medir el interés y alcance de los contenidos publicados, facilitando la toma de decisiones basadas en datos reales. Además, promueve la transparencia y puede incentivar una mayor participación al mostrar que la información está siendo consultada por otros visitantes.</w:t>
            </w:r>
          </w:p>
        </w:tc>
      </w:tr>
      <w:tr>
        <w:trPr>
          <w:cantSplit w:val="0"/>
          <w:trHeight w:val="215"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6">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16" w:hRule="atLeast"/>
          <w:tblHeader w:val="1"/>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60">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8"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6A">
      <w:pPr>
        <w:rPr>
          <w:rFonts w:ascii="Palatino Linotype" w:cs="Palatino Linotype" w:eastAsia="Palatino Linotype" w:hAnsi="Palatino Linotype"/>
          <w:b w:val="1"/>
        </w:rPr>
      </w:pPr>
      <w:bookmarkStart w:colFirst="0" w:colLast="0" w:name="_heading=h.30j0zll" w:id="2"/>
      <w:bookmarkEnd w:id="2"/>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B">
            <w:pPr>
              <w:ind w:left="-708" w:firstLine="0"/>
              <w:rPr>
                <w:rFonts w:ascii="Palatino Linotype" w:cs="Palatino Linotype" w:eastAsia="Palatino Linotype" w:hAnsi="Palatino Linotype"/>
                <w:b w:val="1"/>
                <w:shd w:fill="e69138" w:val="clear"/>
              </w:rPr>
            </w:pPr>
            <w:r w:rsidDel="00000000" w:rsidR="00000000" w:rsidRPr="00000000">
              <w:rPr>
                <w:rFonts w:ascii="Palatino Linotype" w:cs="Palatino Linotype" w:eastAsia="Palatino Linotype" w:hAnsi="Palatino Linotype"/>
                <w:b w:val="1"/>
                <w:rtl w:val="0"/>
              </w:rPr>
              <w:t xml:space="preserve">17. Listado de soportes documentales —y en su caso hipervínculos— que se adjuntan sobre la práctica:   </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El Micrositio se encuentra disponible para su consulta en el siguiente enlace: </w:t>
            </w:r>
            <w:hyperlink r:id="rId13">
              <w:r w:rsidDel="00000000" w:rsidR="00000000" w:rsidRPr="00000000">
                <w:rPr>
                  <w:rFonts w:ascii="Palatino Linotype" w:cs="Palatino Linotype" w:eastAsia="Palatino Linotype" w:hAnsi="Palatino Linotype"/>
                  <w:b w:val="1"/>
                  <w:color w:val="0563c1"/>
                  <w:u w:val="single"/>
                  <w:rtl w:val="0"/>
                </w:rPr>
                <w:t xml:space="preserve">https://sseguridad.edomex.gob.mx/escuela_segura</w:t>
              </w:r>
            </w:hyperlink>
            <w:r w:rsidDel="00000000" w:rsidR="00000000" w:rsidRPr="00000000">
              <w:rPr>
                <w:rtl w:val="0"/>
              </w:rPr>
            </w:r>
          </w:p>
          <w:p w:rsidR="00000000" w:rsidDel="00000000" w:rsidP="00000000" w:rsidRDefault="00000000" w:rsidRPr="00000000" w14:paraId="0000016D">
            <w:pPr>
              <w:ind w:left="-708"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972503" cy="2381483"/>
                  <wp:effectExtent b="0" l="0" r="0" t="0"/>
                  <wp:docPr id="1971940480"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972503" cy="2381483"/>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Pr>
              <w:drawing>
                <wp:inline distB="114300" distT="114300" distL="114300" distR="114300">
                  <wp:extent cx="1051893" cy="2573033"/>
                  <wp:effectExtent b="0" l="0" r="0" t="0"/>
                  <wp:docPr id="197194048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051893" cy="25730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E">
      <w:pPr>
        <w:ind w:left="-708" w:firstLine="0"/>
        <w:rPr>
          <w:rFonts w:ascii="Palatino Linotype" w:cs="Palatino Linotype" w:eastAsia="Palatino Linotype" w:hAnsi="Palatino Linotype"/>
          <w:b w:val="1"/>
        </w:rPr>
      </w:pPr>
      <w:r w:rsidDel="00000000" w:rsidR="00000000" w:rsidRPr="00000000">
        <w:rPr>
          <w:rtl w:val="0"/>
        </w:rPr>
      </w:r>
    </w:p>
    <w:tbl>
      <w:tblPr>
        <w:tblStyle w:val="Table13"/>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F">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18. En caso de ser una práctica que se presente por segunda ocasión, describa la innovación con la que cuenta para este ejercicio.</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N/A</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7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N/A</w:t>
            </w:r>
          </w:p>
        </w:tc>
      </w:tr>
    </w:tbl>
    <w:p w:rsidR="00000000" w:rsidDel="00000000" w:rsidP="00000000" w:rsidRDefault="00000000" w:rsidRPr="00000000" w14:paraId="00000173">
      <w:pPr>
        <w:rPr>
          <w:rFonts w:ascii="Palatino Linotype" w:cs="Palatino Linotype" w:eastAsia="Palatino Linotype" w:hAnsi="Palatino Linotype"/>
        </w:rPr>
      </w:pPr>
      <w:r w:rsidDel="00000000" w:rsidR="00000000" w:rsidRPr="00000000">
        <w:rPr>
          <w:rtl w:val="0"/>
        </w:rPr>
      </w:r>
    </w:p>
    <w:sectPr>
      <w:headerReference r:id="rId16" w:type="default"/>
      <w:footerReference r:id="rId17" w:type="default"/>
      <w:pgSz w:h="15840" w:w="12240" w:orient="portrait"/>
      <w:pgMar w:bottom="1560" w:top="212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-1038222</wp:posOffset>
          </wp:positionH>
          <wp:positionV relativeFrom="paragraph">
            <wp:posOffset>-438147</wp:posOffset>
          </wp:positionV>
          <wp:extent cx="7762875" cy="10023158"/>
          <wp:effectExtent b="0" l="0" r="0" t="0"/>
          <wp:wrapNone/>
          <wp:docPr id="197194048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762875" cy="10023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abstractNum w:abstractNumId="2">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c"/>
    <w:tblPr>
      <w:tblStyleRowBandSize w:val="1"/>
      <w:tblStyleColBandSize w:val="1"/>
      <w:tblCellMar>
        <w:top w:w="41.0" w:type="dxa"/>
        <w:left w:w="106.0" w:type="dxa"/>
        <w:right w:w="67.0" w:type="dxa"/>
      </w:tblCellMar>
    </w:tblPr>
  </w:style>
  <w:style w:type="table" w:styleId="a0" w:customStyle="1">
    <w:basedOn w:val="TableNormalc"/>
    <w:tblPr>
      <w:tblStyleRowBandSize w:val="1"/>
      <w:tblStyleColBandSize w:val="1"/>
      <w:tblCellMar>
        <w:top w:w="41.0" w:type="dxa"/>
        <w:left w:w="107.0" w:type="dxa"/>
        <w:right w:w="73.0" w:type="dxa"/>
      </w:tblCellMar>
    </w:tblPr>
  </w:style>
  <w:style w:type="table" w:styleId="a1" w:customStyle="1">
    <w:basedOn w:val="TableNormalc"/>
    <w:tblPr>
      <w:tblStyleRowBandSize w:val="1"/>
      <w:tblStyleColBandSize w:val="1"/>
      <w:tblCellMar>
        <w:top w:w="41.0" w:type="dxa"/>
        <w:right w:w="60.0" w:type="dxa"/>
      </w:tblCellMar>
    </w:tblPr>
  </w:style>
  <w:style w:type="table" w:styleId="a2" w:customStyle="1">
    <w:basedOn w:val="TableNormalc"/>
    <w:tblPr>
      <w:tblStyleRowBandSize w:val="1"/>
      <w:tblStyleColBandSize w:val="1"/>
      <w:tblCellMar>
        <w:top w:w="41.0" w:type="dxa"/>
        <w:right w:w="62.0" w:type="dxa"/>
      </w:tblCellMar>
    </w:tblPr>
  </w:style>
  <w:style w:type="table" w:styleId="a3" w:customStyle="1">
    <w:basedOn w:val="TableNormalc"/>
    <w:tblPr>
      <w:tblStyleRowBandSize w:val="1"/>
      <w:tblStyleColBandSize w:val="1"/>
      <w:tblCellMar>
        <w:top w:w="41.0" w:type="dxa"/>
        <w:left w:w="107.0" w:type="dxa"/>
        <w:right w:w="70.0" w:type="dxa"/>
      </w:tblCellMar>
    </w:tblPr>
  </w:style>
  <w:style w:type="table" w:styleId="a4" w:customStyle="1">
    <w:basedOn w:val="TableNormalc"/>
    <w:tblPr>
      <w:tblStyleRowBandSize w:val="1"/>
      <w:tblStyleColBandSize w:val="1"/>
      <w:tblCellMar>
        <w:top w:w="40.0" w:type="dxa"/>
        <w:right w:w="26.0" w:type="dxa"/>
      </w:tblCellMar>
    </w:tblPr>
  </w:style>
  <w:style w:type="table" w:styleId="a5" w:customStyle="1">
    <w:basedOn w:val="TableNormalc"/>
    <w:tblPr>
      <w:tblStyleRowBandSize w:val="1"/>
      <w:tblStyleColBandSize w:val="1"/>
      <w:tblCellMar>
        <w:top w:w="41.0" w:type="dxa"/>
        <w:left w:w="107.0" w:type="dxa"/>
        <w:right w:w="71.0" w:type="dxa"/>
      </w:tblCellMar>
    </w:tblPr>
  </w:style>
  <w:style w:type="table" w:styleId="a6" w:customStyle="1">
    <w:basedOn w:val="TableNormalc"/>
    <w:tblPr>
      <w:tblStyleRowBandSize w:val="1"/>
      <w:tblStyleColBandSize w:val="1"/>
      <w:tblCellMar>
        <w:top w:w="40.0" w:type="dxa"/>
        <w:right w:w="12.0" w:type="dxa"/>
      </w:tblCellMar>
    </w:tblPr>
  </w:style>
  <w:style w:type="table" w:styleId="a7" w:customStyle="1">
    <w:basedOn w:val="TableNormalc"/>
    <w:tblPr>
      <w:tblStyleRowBandSize w:val="1"/>
      <w:tblStyleColBandSize w:val="1"/>
      <w:tblCellMar>
        <w:top w:w="41.0" w:type="dxa"/>
        <w:left w:w="107.0" w:type="dxa"/>
        <w:right w:w="69.0" w:type="dxa"/>
      </w:tblCellMar>
    </w:tblPr>
  </w:style>
  <w:style w:type="table" w:styleId="a8" w:customStyle="1">
    <w:basedOn w:val="TableNormalc"/>
    <w:tblPr>
      <w:tblStyleRowBandSize w:val="1"/>
      <w:tblStyleColBandSize w:val="1"/>
      <w:tblCellMar>
        <w:top w:w="41.0" w:type="dxa"/>
        <w:left w:w="107.0" w:type="dxa"/>
        <w:right w:w="70.0" w:type="dxa"/>
      </w:tblCellMar>
    </w:tblPr>
  </w:style>
  <w:style w:type="table" w:styleId="a9" w:customStyle="1">
    <w:basedOn w:val="TableNormalc"/>
    <w:tblPr>
      <w:tblStyleRowBandSize w:val="1"/>
      <w:tblStyleColBandSize w:val="1"/>
      <w:tblCellMar>
        <w:top w:w="41.0" w:type="dxa"/>
        <w:left w:w="107.0" w:type="dxa"/>
        <w:right w:w="67.0" w:type="dxa"/>
      </w:tblCellMar>
    </w:tblPr>
  </w:style>
  <w:style w:type="table" w:styleId="aa" w:customStyle="1">
    <w:basedOn w:val="TableNormalc"/>
    <w:tblPr>
      <w:tblStyleRowBandSize w:val="1"/>
      <w:tblStyleColBandSize w:val="1"/>
      <w:tblCellMar>
        <w:top w:w="41.0" w:type="dxa"/>
        <w:left w:w="107.0" w:type="dxa"/>
        <w:right w:w="70.0" w:type="dxa"/>
      </w:tblCellMar>
    </w:tblPr>
  </w:style>
  <w:style w:type="table" w:styleId="ab" w:customStyle="1">
    <w:basedOn w:val="TableNormalc"/>
    <w:tblPr>
      <w:tblStyleRowBandSize w:val="1"/>
      <w:tblStyleColBandSize w:val="1"/>
      <w:tblCellMar>
        <w:top w:w="41.0" w:type="dxa"/>
        <w:left w:w="107.0" w:type="dxa"/>
        <w:right w:w="71.0" w:type="dxa"/>
      </w:tblCellMar>
    </w:tblPr>
  </w:style>
  <w:style w:type="table" w:styleId="ac" w:customStyle="1">
    <w:basedOn w:val="TableNormalc"/>
    <w:tblPr>
      <w:tblStyleRowBandSize w:val="1"/>
      <w:tblStyleColBandSize w:val="1"/>
      <w:tblCellMar>
        <w:top w:w="41.0" w:type="dxa"/>
        <w:left w:w="827.0" w:type="dxa"/>
        <w:right w:w="115.0" w:type="dxa"/>
      </w:tblCellMar>
    </w:tblPr>
  </w:style>
  <w:style w:type="table" w:styleId="ad" w:customStyle="1">
    <w:basedOn w:val="TableNormalc"/>
    <w:tblPr>
      <w:tblStyleRowBandSize w:val="1"/>
      <w:tblStyleColBandSize w:val="1"/>
      <w:tblCellMar>
        <w:top w:w="41.0" w:type="dxa"/>
        <w:left w:w="827.0" w:type="dxa"/>
        <w:right w:w="115.0" w:type="dxa"/>
      </w:tblCellMar>
    </w:tblPr>
  </w:style>
  <w:style w:type="table" w:styleId="ae" w:customStyle="1">
    <w:basedOn w:val="TableNormalc"/>
    <w:tblPr>
      <w:tblStyleRowBandSize w:val="1"/>
      <w:tblStyleColBandSize w:val="1"/>
      <w:tblCellMar>
        <w:top w:w="41.0" w:type="dxa"/>
        <w:left w:w="827.0" w:type="dxa"/>
        <w:right w:w="115.0" w:type="dxa"/>
      </w:tblCellMar>
    </w:tblPr>
  </w:style>
  <w:style w:type="table" w:styleId="af" w:customStyle="1">
    <w:basedOn w:val="TableNormalc"/>
    <w:tblPr>
      <w:tblStyleRowBandSize w:val="1"/>
      <w:tblStyleColBandSize w:val="1"/>
      <w:tblCellMar>
        <w:top w:w="41.0" w:type="dxa"/>
        <w:left w:w="827.0" w:type="dxa"/>
        <w:right w:w="115.0" w:type="dxa"/>
      </w:tblCellMar>
    </w:tblPr>
  </w:style>
  <w:style w:type="table" w:styleId="af0" w:customStyle="1">
    <w:basedOn w:val="TableNormalc"/>
    <w:tblPr>
      <w:tblStyleRowBandSize w:val="1"/>
      <w:tblStyleColBandSize w:val="1"/>
      <w:tblCellMar>
        <w:top w:w="41.0" w:type="dxa"/>
        <w:left w:w="827.0" w:type="dxa"/>
        <w:right w:w="115.0" w:type="dxa"/>
      </w:tblCellMar>
    </w:tblPr>
  </w:style>
  <w:style w:type="table" w:styleId="af1" w:customStyle="1">
    <w:basedOn w:val="TableNormalc"/>
    <w:tblPr>
      <w:tblStyleRowBandSize w:val="1"/>
      <w:tblStyleColBandSize w:val="1"/>
      <w:tblCellMar>
        <w:top w:w="41.0" w:type="dxa"/>
        <w:left w:w="827.0" w:type="dxa"/>
        <w:right w:w="115.0" w:type="dxa"/>
      </w:tblCellMar>
    </w:tblPr>
  </w:style>
  <w:style w:type="table" w:styleId="af2" w:customStyle="1">
    <w:basedOn w:val="TableNormalc"/>
    <w:tblPr>
      <w:tblStyleRowBandSize w:val="1"/>
      <w:tblStyleColBandSize w:val="1"/>
      <w:tblCellMar>
        <w:top w:w="41.0" w:type="dxa"/>
        <w:left w:w="827.0" w:type="dxa"/>
        <w:right w:w="115.0" w:type="dxa"/>
      </w:tblCellMar>
    </w:tblPr>
  </w:style>
  <w:style w:type="table" w:styleId="af3" w:customStyle="1">
    <w:basedOn w:val="TableNormalc"/>
    <w:tblPr>
      <w:tblStyleRowBandSize w:val="1"/>
      <w:tblStyleColBandSize w:val="1"/>
      <w:tblCellMar>
        <w:top w:w="41.0" w:type="dxa"/>
        <w:left w:w="827.0" w:type="dxa"/>
        <w:right w:w="115.0" w:type="dxa"/>
      </w:tblCellMar>
    </w:tblPr>
  </w:style>
  <w:style w:type="table" w:styleId="af4" w:customStyle="1">
    <w:basedOn w:val="TableNormalc"/>
    <w:tblPr>
      <w:tblStyleRowBandSize w:val="1"/>
      <w:tblStyleColBandSize w:val="1"/>
      <w:tblCellMar>
        <w:top w:w="41.0" w:type="dxa"/>
        <w:left w:w="827.0" w:type="dxa"/>
        <w:right w:w="115.0" w:type="dxa"/>
      </w:tblCellMar>
    </w:tblPr>
  </w:style>
  <w:style w:type="table" w:styleId="af5" w:customStyle="1">
    <w:basedOn w:val="TableNormalc"/>
    <w:tblPr>
      <w:tblStyleRowBandSize w:val="1"/>
      <w:tblStyleColBandSize w:val="1"/>
      <w:tblCellMar>
        <w:top w:w="41.0" w:type="dxa"/>
        <w:left w:w="827.0" w:type="dxa"/>
        <w:right w:w="115.0" w:type="dxa"/>
      </w:tblCellMar>
    </w:tblPr>
  </w:style>
  <w:style w:type="table" w:styleId="af6" w:customStyle="1">
    <w:basedOn w:val="TableNormalc"/>
    <w:tblPr>
      <w:tblStyleRowBandSize w:val="1"/>
      <w:tblStyleColBandSize w:val="1"/>
      <w:tblCellMar>
        <w:top w:w="41.0" w:type="dxa"/>
        <w:left w:w="827.0" w:type="dxa"/>
        <w:right w:w="115.0" w:type="dxa"/>
      </w:tblCellMar>
    </w:tblPr>
  </w:style>
  <w:style w:type="table" w:styleId="af7" w:customStyle="1">
    <w:basedOn w:val="TableNormalc"/>
    <w:tblPr>
      <w:tblStyleRowBandSize w:val="1"/>
      <w:tblStyleColBandSize w:val="1"/>
      <w:tblCellMar>
        <w:top w:w="41.0" w:type="dxa"/>
        <w:left w:w="827.0" w:type="dxa"/>
        <w:right w:w="115.0" w:type="dxa"/>
      </w:tblCellMar>
    </w:tblPr>
  </w:style>
  <w:style w:type="table" w:styleId="af8" w:customStyle="1">
    <w:basedOn w:val="TableNormalc"/>
    <w:tblPr>
      <w:tblStyleRowBandSize w:val="1"/>
      <w:tblStyleColBandSize w:val="1"/>
      <w:tblCellMar>
        <w:top w:w="41.0" w:type="dxa"/>
        <w:left w:w="827.0" w:type="dxa"/>
        <w:right w:w="115.0" w:type="dxa"/>
      </w:tblCellMar>
    </w:tblPr>
  </w:style>
  <w:style w:type="table" w:styleId="af9" w:customStyle="1">
    <w:basedOn w:val="TableNormalc"/>
    <w:tblPr>
      <w:tblStyleRowBandSize w:val="1"/>
      <w:tblStyleColBandSize w:val="1"/>
      <w:tblCellMar>
        <w:top w:w="41.0" w:type="dxa"/>
        <w:left w:w="827.0" w:type="dxa"/>
        <w:right w:w="115.0" w:type="dxa"/>
      </w:tblCellMar>
    </w:tblPr>
  </w:style>
  <w:style w:type="table" w:styleId="afa" w:customStyle="1">
    <w:basedOn w:val="TableNormalc"/>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b"/>
    <w:tblPr>
      <w:tblStyleRowBandSize w:val="1"/>
      <w:tblStyleColBandSize w:val="1"/>
      <w:tblCellMar>
        <w:top w:w="41.0" w:type="dxa"/>
        <w:left w:w="827.0" w:type="dxa"/>
        <w:right w:w="115.0" w:type="dxa"/>
      </w:tblCellMar>
    </w:tblPr>
  </w:style>
  <w:style w:type="table" w:styleId="afc" w:customStyle="1">
    <w:basedOn w:val="TableNormalb"/>
    <w:tblPr>
      <w:tblStyleRowBandSize w:val="1"/>
      <w:tblStyleColBandSize w:val="1"/>
      <w:tblCellMar>
        <w:top w:w="41.0" w:type="dxa"/>
        <w:left w:w="827.0" w:type="dxa"/>
        <w:right w:w="115.0" w:type="dxa"/>
      </w:tblCellMar>
    </w:tblPr>
  </w:style>
  <w:style w:type="table" w:styleId="afd" w:customStyle="1">
    <w:basedOn w:val="TableNormalb"/>
    <w:tblPr>
      <w:tblStyleRowBandSize w:val="1"/>
      <w:tblStyleColBandSize w:val="1"/>
      <w:tblCellMar>
        <w:top w:w="41.0" w:type="dxa"/>
        <w:left w:w="827.0" w:type="dxa"/>
        <w:right w:w="115.0" w:type="dxa"/>
      </w:tblCellMar>
    </w:tblPr>
  </w:style>
  <w:style w:type="table" w:styleId="afe" w:customStyle="1">
    <w:basedOn w:val="TableNormalb"/>
    <w:tblPr>
      <w:tblStyleRowBandSize w:val="1"/>
      <w:tblStyleColBandSize w:val="1"/>
      <w:tblCellMar>
        <w:top w:w="41.0" w:type="dxa"/>
        <w:left w:w="827.0" w:type="dxa"/>
        <w:right w:w="115.0" w:type="dxa"/>
      </w:tblCellMar>
    </w:tblPr>
  </w:style>
  <w:style w:type="table" w:styleId="aff" w:customStyle="1">
    <w:basedOn w:val="TableNormalb"/>
    <w:tblPr>
      <w:tblStyleRowBandSize w:val="1"/>
      <w:tblStyleColBandSize w:val="1"/>
      <w:tblCellMar>
        <w:top w:w="41.0" w:type="dxa"/>
        <w:left w:w="827.0" w:type="dxa"/>
        <w:right w:w="115.0" w:type="dxa"/>
      </w:tblCellMar>
    </w:tblPr>
  </w:style>
  <w:style w:type="table" w:styleId="aff0" w:customStyle="1">
    <w:basedOn w:val="TableNormalb"/>
    <w:tblPr>
      <w:tblStyleRowBandSize w:val="1"/>
      <w:tblStyleColBandSize w:val="1"/>
      <w:tblCellMar>
        <w:top w:w="41.0" w:type="dxa"/>
        <w:left w:w="827.0" w:type="dxa"/>
        <w:right w:w="115.0" w:type="dxa"/>
      </w:tblCellMar>
    </w:tblPr>
  </w:style>
  <w:style w:type="table" w:styleId="aff1" w:customStyle="1">
    <w:basedOn w:val="TableNormalb"/>
    <w:tblPr>
      <w:tblStyleRowBandSize w:val="1"/>
      <w:tblStyleColBandSize w:val="1"/>
      <w:tblCellMar>
        <w:top w:w="41.0" w:type="dxa"/>
        <w:left w:w="827.0" w:type="dxa"/>
        <w:right w:w="115.0" w:type="dxa"/>
      </w:tblCellMar>
    </w:tblPr>
  </w:style>
  <w:style w:type="table" w:styleId="aff2" w:customStyle="1">
    <w:basedOn w:val="TableNormalb"/>
    <w:tblPr>
      <w:tblStyleRowBandSize w:val="1"/>
      <w:tblStyleColBandSize w:val="1"/>
      <w:tblCellMar>
        <w:top w:w="41.0" w:type="dxa"/>
        <w:left w:w="827.0" w:type="dxa"/>
        <w:right w:w="115.0" w:type="dxa"/>
      </w:tblCellMar>
    </w:tblPr>
  </w:style>
  <w:style w:type="table" w:styleId="aff3" w:customStyle="1">
    <w:basedOn w:val="TableNormalb"/>
    <w:tblPr>
      <w:tblStyleRowBandSize w:val="1"/>
      <w:tblStyleColBandSize w:val="1"/>
      <w:tblCellMar>
        <w:top w:w="41.0" w:type="dxa"/>
        <w:left w:w="827.0" w:type="dxa"/>
        <w:right w:w="115.0" w:type="dxa"/>
      </w:tblCellMar>
    </w:tblPr>
  </w:style>
  <w:style w:type="table" w:styleId="aff4" w:customStyle="1">
    <w:basedOn w:val="TableNormalb"/>
    <w:tblPr>
      <w:tblStyleRowBandSize w:val="1"/>
      <w:tblStyleColBandSize w:val="1"/>
      <w:tblCellMar>
        <w:top w:w="41.0" w:type="dxa"/>
        <w:left w:w="827.0" w:type="dxa"/>
        <w:right w:w="115.0" w:type="dxa"/>
      </w:tblCellMar>
    </w:tblPr>
  </w:style>
  <w:style w:type="table" w:styleId="aff5" w:customStyle="1">
    <w:basedOn w:val="TableNormalb"/>
    <w:tblPr>
      <w:tblStyleRowBandSize w:val="1"/>
      <w:tblStyleColBandSize w:val="1"/>
      <w:tblCellMar>
        <w:top w:w="41.0" w:type="dxa"/>
        <w:left w:w="827.0" w:type="dxa"/>
        <w:right w:w="115.0" w:type="dxa"/>
      </w:tblCellMar>
    </w:tblPr>
  </w:style>
  <w:style w:type="table" w:styleId="aff6" w:customStyle="1">
    <w:basedOn w:val="TableNormalb"/>
    <w:tblPr>
      <w:tblStyleRowBandSize w:val="1"/>
      <w:tblStyleColBandSize w:val="1"/>
      <w:tblCellMar>
        <w:top w:w="41.0" w:type="dxa"/>
        <w:left w:w="827.0" w:type="dxa"/>
        <w:right w:w="115.0" w:type="dxa"/>
      </w:tblCellMar>
    </w:tblPr>
  </w:style>
  <w:style w:type="table" w:styleId="aff7" w:customStyle="1">
    <w:basedOn w:val="TableNormalb"/>
    <w:tblPr>
      <w:tblStyleRowBandSize w:val="1"/>
      <w:tblStyleColBandSize w:val="1"/>
      <w:tblCellMar>
        <w:top w:w="41.0" w:type="dxa"/>
        <w:left w:w="827.0" w:type="dxa"/>
        <w:right w:w="115.0" w:type="dxa"/>
      </w:tblCellMar>
    </w:tblPr>
  </w:style>
  <w:style w:type="table" w:styleId="aff8" w:customStyle="1">
    <w:basedOn w:val="TableNormalb"/>
    <w:tblPr>
      <w:tblStyleRowBandSize w:val="1"/>
      <w:tblStyleColBandSize w:val="1"/>
      <w:tblCellMar>
        <w:top w:w="41.0" w:type="dxa"/>
        <w:left w:w="827.0" w:type="dxa"/>
        <w:right w:w="115.0" w:type="dxa"/>
      </w:tblCellMar>
    </w:tblPr>
  </w:style>
  <w:style w:type="table" w:styleId="aff9" w:customStyle="1">
    <w:basedOn w:val="TableNormalb"/>
    <w:tblPr>
      <w:tblStyleRowBandSize w:val="1"/>
      <w:tblStyleColBandSize w:val="1"/>
      <w:tblCellMar>
        <w:top w:w="41.0" w:type="dxa"/>
        <w:left w:w="827.0" w:type="dxa"/>
        <w:right w:w="115.0" w:type="dxa"/>
      </w:tblCellMar>
    </w:tblPr>
  </w:style>
  <w:style w:type="table" w:styleId="affa" w:customStyle="1">
    <w:basedOn w:val="TableNormalb"/>
    <w:tblPr>
      <w:tblStyleRowBandSize w:val="1"/>
      <w:tblStyleColBandSize w:val="1"/>
      <w:tblCellMar>
        <w:top w:w="41.0" w:type="dxa"/>
        <w:left w:w="827.0" w:type="dxa"/>
        <w:right w:w="115.0" w:type="dxa"/>
      </w:tblCellMar>
    </w:tblPr>
  </w:style>
  <w:style w:type="table" w:styleId="affb" w:customStyle="1">
    <w:basedOn w:val="TableNormalb"/>
    <w:tblPr>
      <w:tblStyleRowBandSize w:val="1"/>
      <w:tblStyleColBandSize w:val="1"/>
      <w:tblCellMar>
        <w:top w:w="41.0" w:type="dxa"/>
        <w:left w:w="827.0" w:type="dxa"/>
        <w:right w:w="115.0" w:type="dxa"/>
      </w:tblCellMar>
    </w:tblPr>
  </w:style>
  <w:style w:type="table" w:styleId="affc" w:customStyle="1">
    <w:basedOn w:val="TableNormalb"/>
    <w:tblPr>
      <w:tblStyleRowBandSize w:val="1"/>
      <w:tblStyleColBandSize w:val="1"/>
      <w:tblCellMar>
        <w:top w:w="41.0" w:type="dxa"/>
        <w:left w:w="827.0" w:type="dxa"/>
        <w:right w:w="115.0" w:type="dxa"/>
      </w:tblCellMar>
    </w:tblPr>
  </w:style>
  <w:style w:type="table" w:styleId="affd" w:customStyle="1">
    <w:basedOn w:val="TableNormalb"/>
    <w:tblPr>
      <w:tblStyleRowBandSize w:val="1"/>
      <w:tblStyleColBandSize w:val="1"/>
      <w:tblCellMar>
        <w:top w:w="41.0" w:type="dxa"/>
        <w:left w:w="827.0" w:type="dxa"/>
        <w:right w:w="115.0" w:type="dxa"/>
      </w:tblCellMar>
    </w:tblPr>
  </w:style>
  <w:style w:type="table" w:styleId="affe" w:customStyle="1">
    <w:basedOn w:val="TableNormalb"/>
    <w:tblPr>
      <w:tblStyleRowBandSize w:val="1"/>
      <w:tblStyleColBandSize w:val="1"/>
      <w:tblCellMar>
        <w:top w:w="41.0" w:type="dxa"/>
        <w:left w:w="827.0" w:type="dxa"/>
        <w:right w:w="115.0" w:type="dxa"/>
      </w:tblCellMar>
    </w:tblPr>
  </w:style>
  <w:style w:type="table" w:styleId="afff" w:customStyle="1">
    <w:basedOn w:val="TableNormalb"/>
    <w:tblPr>
      <w:tblStyleRowBandSize w:val="1"/>
      <w:tblStyleColBandSize w:val="1"/>
      <w:tblCellMar>
        <w:top w:w="41.0" w:type="dxa"/>
        <w:left w:w="827.0" w:type="dxa"/>
        <w:right w:w="115.0" w:type="dxa"/>
      </w:tblCellMar>
    </w:tblPr>
  </w:style>
  <w:style w:type="table" w:styleId="afff0" w:customStyle="1">
    <w:basedOn w:val="TableNormalb"/>
    <w:tblPr>
      <w:tblStyleRowBandSize w:val="1"/>
      <w:tblStyleColBandSize w:val="1"/>
      <w:tblCellMar>
        <w:top w:w="41.0" w:type="dxa"/>
        <w:left w:w="827.0" w:type="dxa"/>
        <w:right w:w="115.0" w:type="dxa"/>
      </w:tblCellMar>
    </w:tblPr>
  </w:style>
  <w:style w:type="table" w:styleId="afff1" w:customStyle="1">
    <w:basedOn w:val="TableNormalb"/>
    <w:tblPr>
      <w:tblStyleRowBandSize w:val="1"/>
      <w:tblStyleColBandSize w:val="1"/>
      <w:tblCellMar>
        <w:top w:w="41.0" w:type="dxa"/>
        <w:left w:w="827.0" w:type="dxa"/>
        <w:right w:w="115.0" w:type="dxa"/>
      </w:tblCellMar>
    </w:tblPr>
  </w:style>
  <w:style w:type="table" w:styleId="afff2" w:customStyle="1">
    <w:basedOn w:val="TableNormalb"/>
    <w:tblPr>
      <w:tblStyleRowBandSize w:val="1"/>
      <w:tblStyleColBandSize w:val="1"/>
      <w:tblCellMar>
        <w:top w:w="41.0" w:type="dxa"/>
        <w:left w:w="827.0" w:type="dxa"/>
        <w:right w:w="115.0" w:type="dxa"/>
      </w:tblCellMar>
    </w:tblPr>
  </w:style>
  <w:style w:type="table" w:styleId="afff3" w:customStyle="1">
    <w:basedOn w:val="TableNormalb"/>
    <w:tblPr>
      <w:tblStyleRowBandSize w:val="1"/>
      <w:tblStyleColBandSize w:val="1"/>
      <w:tblCellMar>
        <w:top w:w="41.0" w:type="dxa"/>
        <w:left w:w="827.0" w:type="dxa"/>
        <w:right w:w="115.0" w:type="dxa"/>
      </w:tblCellMar>
    </w:tblPr>
  </w:style>
  <w:style w:type="table" w:styleId="afff4" w:customStyle="1">
    <w:basedOn w:val="TableNormalb"/>
    <w:tblPr>
      <w:tblStyleRowBandSize w:val="1"/>
      <w:tblStyleColBandSize w:val="1"/>
      <w:tblCellMar>
        <w:top w:w="41.0" w:type="dxa"/>
        <w:left w:w="827.0" w:type="dxa"/>
        <w:right w:w="115.0" w:type="dxa"/>
      </w:tblCellMar>
    </w:tblPr>
  </w:style>
  <w:style w:type="table" w:styleId="afff5" w:customStyle="1">
    <w:basedOn w:val="TableNormalb"/>
    <w:tblPr>
      <w:tblStyleRowBandSize w:val="1"/>
      <w:tblStyleColBandSize w:val="1"/>
      <w:tblCellMar>
        <w:top w:w="41.0" w:type="dxa"/>
        <w:left w:w="827.0" w:type="dxa"/>
        <w:right w:w="115.0" w:type="dxa"/>
      </w:tblCellMar>
    </w:tblPr>
  </w:style>
  <w:style w:type="table" w:styleId="afff6" w:customStyle="1">
    <w:basedOn w:val="TableNormalb"/>
    <w:tblPr>
      <w:tblStyleRowBandSize w:val="1"/>
      <w:tblStyleColBandSize w:val="1"/>
      <w:tblCellMar>
        <w:top w:w="41.0" w:type="dxa"/>
        <w:left w:w="827.0" w:type="dxa"/>
        <w:right w:w="115.0" w:type="dxa"/>
      </w:tblCellMar>
    </w:tblPr>
  </w:style>
  <w:style w:type="table" w:styleId="afff7" w:customStyle="1">
    <w:basedOn w:val="TableNormal9"/>
    <w:tblPr>
      <w:tblStyleRowBandSize w:val="1"/>
      <w:tblStyleColBandSize w:val="1"/>
      <w:tblCellMar>
        <w:top w:w="41.0" w:type="dxa"/>
        <w:left w:w="827.0" w:type="dxa"/>
        <w:right w:w="115.0" w:type="dxa"/>
      </w:tblCellMar>
    </w:tblPr>
  </w:style>
  <w:style w:type="table" w:styleId="afff8" w:customStyle="1">
    <w:basedOn w:val="TableNormal9"/>
    <w:tblPr>
      <w:tblStyleRowBandSize w:val="1"/>
      <w:tblStyleColBandSize w:val="1"/>
      <w:tblCellMar>
        <w:top w:w="41.0" w:type="dxa"/>
        <w:left w:w="827.0" w:type="dxa"/>
        <w:right w:w="115.0" w:type="dxa"/>
      </w:tblCellMar>
    </w:tblPr>
  </w:style>
  <w:style w:type="table" w:styleId="afff9" w:customStyle="1">
    <w:basedOn w:val="TableNormal9"/>
    <w:tblPr>
      <w:tblStyleRowBandSize w:val="1"/>
      <w:tblStyleColBandSize w:val="1"/>
      <w:tblCellMar>
        <w:top w:w="41.0" w:type="dxa"/>
        <w:left w:w="827.0" w:type="dxa"/>
        <w:right w:w="115.0" w:type="dxa"/>
      </w:tblCellMar>
    </w:tblPr>
  </w:style>
  <w:style w:type="table" w:styleId="afffa" w:customStyle="1">
    <w:basedOn w:val="TableNormal9"/>
    <w:tblPr>
      <w:tblStyleRowBandSize w:val="1"/>
      <w:tblStyleColBandSize w:val="1"/>
      <w:tblCellMar>
        <w:top w:w="41.0" w:type="dxa"/>
        <w:left w:w="827.0" w:type="dxa"/>
        <w:right w:w="115.0" w:type="dxa"/>
      </w:tblCellMar>
    </w:tblPr>
  </w:style>
  <w:style w:type="table" w:styleId="afffb" w:customStyle="1">
    <w:basedOn w:val="TableNormal9"/>
    <w:tblPr>
      <w:tblStyleRowBandSize w:val="1"/>
      <w:tblStyleColBandSize w:val="1"/>
      <w:tblCellMar>
        <w:top w:w="41.0" w:type="dxa"/>
        <w:left w:w="827.0" w:type="dxa"/>
        <w:right w:w="115.0" w:type="dxa"/>
      </w:tblCellMar>
    </w:tblPr>
  </w:style>
  <w:style w:type="table" w:styleId="afffc" w:customStyle="1">
    <w:basedOn w:val="TableNormal9"/>
    <w:tblPr>
      <w:tblStyleRowBandSize w:val="1"/>
      <w:tblStyleColBandSize w:val="1"/>
      <w:tblCellMar>
        <w:top w:w="41.0" w:type="dxa"/>
        <w:left w:w="827.0" w:type="dxa"/>
        <w:right w:w="115.0" w:type="dxa"/>
      </w:tblCellMar>
    </w:tblPr>
  </w:style>
  <w:style w:type="table" w:styleId="afffd" w:customStyle="1">
    <w:basedOn w:val="TableNormal9"/>
    <w:tblPr>
      <w:tblStyleRowBandSize w:val="1"/>
      <w:tblStyleColBandSize w:val="1"/>
      <w:tblCellMar>
        <w:top w:w="41.0" w:type="dxa"/>
        <w:left w:w="827.0" w:type="dxa"/>
        <w:right w:w="115.0" w:type="dxa"/>
      </w:tblCellMar>
    </w:tblPr>
  </w:style>
  <w:style w:type="table" w:styleId="afffe" w:customStyle="1">
    <w:basedOn w:val="TableNormal9"/>
    <w:tblPr>
      <w:tblStyleRowBandSize w:val="1"/>
      <w:tblStyleColBandSize w:val="1"/>
      <w:tblCellMar>
        <w:top w:w="41.0" w:type="dxa"/>
        <w:left w:w="827.0" w:type="dxa"/>
        <w:right w:w="115.0" w:type="dxa"/>
      </w:tblCellMar>
    </w:tblPr>
  </w:style>
  <w:style w:type="table" w:styleId="affff" w:customStyle="1">
    <w:basedOn w:val="TableNormal9"/>
    <w:tblPr>
      <w:tblStyleRowBandSize w:val="1"/>
      <w:tblStyleColBandSize w:val="1"/>
      <w:tblCellMar>
        <w:top w:w="41.0" w:type="dxa"/>
        <w:left w:w="827.0" w:type="dxa"/>
        <w:right w:w="115.0" w:type="dxa"/>
      </w:tblCellMar>
    </w:tblPr>
  </w:style>
  <w:style w:type="table" w:styleId="affff0" w:customStyle="1">
    <w:basedOn w:val="TableNormal9"/>
    <w:tblPr>
      <w:tblStyleRowBandSize w:val="1"/>
      <w:tblStyleColBandSize w:val="1"/>
      <w:tblCellMar>
        <w:top w:w="41.0" w:type="dxa"/>
        <w:left w:w="827.0" w:type="dxa"/>
        <w:right w:w="115.0" w:type="dxa"/>
      </w:tblCellMar>
    </w:tblPr>
  </w:style>
  <w:style w:type="table" w:styleId="affff1" w:customStyle="1">
    <w:basedOn w:val="TableNormal9"/>
    <w:tblPr>
      <w:tblStyleRowBandSize w:val="1"/>
      <w:tblStyleColBandSize w:val="1"/>
      <w:tblCellMar>
        <w:top w:w="41.0" w:type="dxa"/>
        <w:left w:w="827.0" w:type="dxa"/>
        <w:right w:w="115.0" w:type="dxa"/>
      </w:tblCellMar>
    </w:tblPr>
  </w:style>
  <w:style w:type="table" w:styleId="affff2" w:customStyle="1">
    <w:basedOn w:val="TableNormal9"/>
    <w:tblPr>
      <w:tblStyleRowBandSize w:val="1"/>
      <w:tblStyleColBandSize w:val="1"/>
      <w:tblCellMar>
        <w:top w:w="41.0" w:type="dxa"/>
        <w:left w:w="827.0" w:type="dxa"/>
        <w:right w:w="115.0" w:type="dxa"/>
      </w:tblCellMar>
    </w:tblPr>
  </w:style>
  <w:style w:type="table" w:styleId="affff3" w:customStyle="1">
    <w:basedOn w:val="TableNormal9"/>
    <w:tblPr>
      <w:tblStyleRowBandSize w:val="1"/>
      <w:tblStyleColBandSize w:val="1"/>
      <w:tblCellMar>
        <w:top w:w="41.0" w:type="dxa"/>
        <w:left w:w="827.0" w:type="dxa"/>
        <w:right w:w="115.0" w:type="dxa"/>
      </w:tblCellMar>
    </w:tblPr>
  </w:style>
  <w:style w:type="table" w:styleId="affff4" w:customStyle="1">
    <w:basedOn w:val="TableNormal9"/>
    <w:tblPr>
      <w:tblStyleRowBandSize w:val="1"/>
      <w:tblStyleColBandSize w:val="1"/>
      <w:tblCellMar>
        <w:top w:w="41.0" w:type="dxa"/>
        <w:left w:w="827.0" w:type="dxa"/>
        <w:right w:w="115.0" w:type="dxa"/>
      </w:tblCellMar>
    </w:tblPr>
  </w:style>
  <w:style w:type="table" w:styleId="affff5" w:customStyle="1">
    <w:basedOn w:val="TableNormal9"/>
    <w:tblPr>
      <w:tblStyleRowBandSize w:val="1"/>
      <w:tblStyleColBandSize w:val="1"/>
      <w:tblCellMar>
        <w:top w:w="41.0" w:type="dxa"/>
        <w:left w:w="827.0" w:type="dxa"/>
        <w:right w:w="115.0" w:type="dxa"/>
      </w:tblCellMar>
    </w:tblPr>
  </w:style>
  <w:style w:type="table" w:styleId="affff6" w:customStyle="1">
    <w:basedOn w:val="TableNormal9"/>
    <w:tblPr>
      <w:tblStyleRowBandSize w:val="1"/>
      <w:tblStyleColBandSize w:val="1"/>
      <w:tblCellMar>
        <w:top w:w="41.0" w:type="dxa"/>
        <w:left w:w="827.0" w:type="dxa"/>
        <w:right w:w="115.0" w:type="dxa"/>
      </w:tblCellMar>
    </w:tblPr>
  </w:style>
  <w:style w:type="table" w:styleId="affff7" w:customStyle="1">
    <w:basedOn w:val="TableNormal9"/>
    <w:tblPr>
      <w:tblStyleRowBandSize w:val="1"/>
      <w:tblStyleColBandSize w:val="1"/>
      <w:tblCellMar>
        <w:top w:w="41.0" w:type="dxa"/>
        <w:left w:w="827.0" w:type="dxa"/>
        <w:right w:w="115.0" w:type="dxa"/>
      </w:tblCellMar>
    </w:tblPr>
  </w:style>
  <w:style w:type="table" w:styleId="affff8" w:customStyle="1">
    <w:basedOn w:val="TableNormal9"/>
    <w:tblPr>
      <w:tblStyleRowBandSize w:val="1"/>
      <w:tblStyleColBandSize w:val="1"/>
      <w:tblCellMar>
        <w:top w:w="41.0" w:type="dxa"/>
        <w:left w:w="827.0" w:type="dxa"/>
        <w:right w:w="115.0" w:type="dxa"/>
      </w:tblCellMar>
    </w:tblPr>
  </w:style>
  <w:style w:type="table" w:styleId="affff9" w:customStyle="1">
    <w:basedOn w:val="TableNormal9"/>
    <w:tblPr>
      <w:tblStyleRowBandSize w:val="1"/>
      <w:tblStyleColBandSize w:val="1"/>
      <w:tblCellMar>
        <w:top w:w="41.0" w:type="dxa"/>
        <w:left w:w="827.0" w:type="dxa"/>
        <w:right w:w="115.0" w:type="dxa"/>
      </w:tblCellMar>
    </w:tblPr>
  </w:style>
  <w:style w:type="table" w:styleId="affffa" w:customStyle="1">
    <w:basedOn w:val="TableNormal9"/>
    <w:tblPr>
      <w:tblStyleRowBandSize w:val="1"/>
      <w:tblStyleColBandSize w:val="1"/>
      <w:tblCellMar>
        <w:top w:w="41.0" w:type="dxa"/>
        <w:left w:w="827.0" w:type="dxa"/>
        <w:right w:w="115.0" w:type="dxa"/>
      </w:tblCellMar>
    </w:tblPr>
  </w:style>
  <w:style w:type="table" w:styleId="affffb" w:customStyle="1">
    <w:basedOn w:val="TableNormal9"/>
    <w:tblPr>
      <w:tblStyleRowBandSize w:val="1"/>
      <w:tblStyleColBandSize w:val="1"/>
      <w:tblCellMar>
        <w:top w:w="41.0" w:type="dxa"/>
        <w:left w:w="827.0" w:type="dxa"/>
        <w:right w:w="115.0" w:type="dxa"/>
      </w:tblCellMar>
    </w:tblPr>
  </w:style>
  <w:style w:type="table" w:styleId="affffc" w:customStyle="1">
    <w:basedOn w:val="TableNormal9"/>
    <w:tblPr>
      <w:tblStyleRowBandSize w:val="1"/>
      <w:tblStyleColBandSize w:val="1"/>
      <w:tblCellMar>
        <w:top w:w="41.0" w:type="dxa"/>
        <w:left w:w="827.0" w:type="dxa"/>
        <w:right w:w="115.0" w:type="dxa"/>
      </w:tblCellMar>
    </w:tblPr>
  </w:style>
  <w:style w:type="table" w:styleId="affffd" w:customStyle="1">
    <w:basedOn w:val="TableNormal9"/>
    <w:tblPr>
      <w:tblStyleRowBandSize w:val="1"/>
      <w:tblStyleColBandSize w:val="1"/>
      <w:tblCellMar>
        <w:top w:w="41.0" w:type="dxa"/>
        <w:left w:w="827.0" w:type="dxa"/>
        <w:right w:w="115.0" w:type="dxa"/>
      </w:tblCellMar>
    </w:tblPr>
  </w:style>
  <w:style w:type="table" w:styleId="affffe" w:customStyle="1">
    <w:basedOn w:val="TableNormal9"/>
    <w:tblPr>
      <w:tblStyleRowBandSize w:val="1"/>
      <w:tblStyleColBandSize w:val="1"/>
      <w:tblCellMar>
        <w:top w:w="41.0" w:type="dxa"/>
        <w:left w:w="827.0" w:type="dxa"/>
        <w:right w:w="115.0" w:type="dxa"/>
      </w:tblCellMar>
    </w:tblPr>
  </w:style>
  <w:style w:type="table" w:styleId="afffff" w:customStyle="1">
    <w:basedOn w:val="TableNormal9"/>
    <w:tblPr>
      <w:tblStyleRowBandSize w:val="1"/>
      <w:tblStyleColBandSize w:val="1"/>
      <w:tblCellMar>
        <w:top w:w="41.0" w:type="dxa"/>
        <w:left w:w="827.0" w:type="dxa"/>
        <w:right w:w="115.0" w:type="dxa"/>
      </w:tblCellMar>
    </w:tblPr>
  </w:style>
  <w:style w:type="table" w:styleId="afffff0" w:customStyle="1">
    <w:basedOn w:val="TableNormal9"/>
    <w:tblPr>
      <w:tblStyleRowBandSize w:val="1"/>
      <w:tblStyleColBandSize w:val="1"/>
      <w:tblCellMar>
        <w:top w:w="41.0" w:type="dxa"/>
        <w:left w:w="827.0" w:type="dxa"/>
        <w:right w:w="115.0" w:type="dxa"/>
      </w:tblCellMar>
    </w:tblPr>
  </w:style>
  <w:style w:type="table" w:styleId="afffff1" w:customStyle="1">
    <w:basedOn w:val="TableNormal9"/>
    <w:tblPr>
      <w:tblStyleRowBandSize w:val="1"/>
      <w:tblStyleColBandSize w:val="1"/>
      <w:tblCellMar>
        <w:top w:w="41.0" w:type="dxa"/>
        <w:left w:w="827.0" w:type="dxa"/>
        <w:right w:w="115.0" w:type="dxa"/>
      </w:tblCellMar>
    </w:tblPr>
  </w:style>
  <w:style w:type="table" w:styleId="afffff2" w:customStyle="1">
    <w:basedOn w:val="TableNormal9"/>
    <w:tblPr>
      <w:tblStyleRowBandSize w:val="1"/>
      <w:tblStyleColBandSize w:val="1"/>
      <w:tblCellMar>
        <w:top w:w="41.0" w:type="dxa"/>
        <w:left w:w="827.0" w:type="dxa"/>
        <w:right w:w="115.0" w:type="dxa"/>
      </w:tblCellMar>
    </w:tblPr>
  </w:style>
  <w:style w:type="table" w:styleId="afffff3" w:customStyle="1">
    <w:basedOn w:val="TableNormal9"/>
    <w:tblPr>
      <w:tblStyleRowBandSize w:val="1"/>
      <w:tblStyleColBandSize w:val="1"/>
      <w:tblCellMar>
        <w:top w:w="41.0" w:type="dxa"/>
        <w:left w:w="827.0" w:type="dxa"/>
        <w:right w:w="115.0" w:type="dxa"/>
      </w:tblCellMar>
    </w:tblPr>
  </w:style>
  <w:style w:type="table" w:styleId="afffff4" w:customStyle="1">
    <w:basedOn w:val="TableNormal9"/>
    <w:tblPr>
      <w:tblStyleRowBandSize w:val="1"/>
      <w:tblStyleColBandSize w:val="1"/>
      <w:tblCellMar>
        <w:top w:w="41.0" w:type="dxa"/>
        <w:left w:w="827.0" w:type="dxa"/>
        <w:right w:w="115.0" w:type="dxa"/>
      </w:tblCellMar>
    </w:tblPr>
  </w:style>
  <w:style w:type="table" w:styleId="afffff5" w:customStyle="1">
    <w:basedOn w:val="TableNormal9"/>
    <w:tblPr>
      <w:tblStyleRowBandSize w:val="1"/>
      <w:tblStyleColBandSize w:val="1"/>
      <w:tblCellMar>
        <w:top w:w="41.0" w:type="dxa"/>
        <w:left w:w="827.0" w:type="dxa"/>
        <w:right w:w="115.0" w:type="dxa"/>
      </w:tblCellMar>
    </w:tblPr>
  </w:style>
  <w:style w:type="table" w:styleId="afffff6" w:customStyle="1">
    <w:basedOn w:val="TableNormal9"/>
    <w:tblPr>
      <w:tblStyleRowBandSize w:val="1"/>
      <w:tblStyleColBandSize w:val="1"/>
      <w:tblCellMar>
        <w:top w:w="41.0" w:type="dxa"/>
        <w:left w:w="827.0" w:type="dxa"/>
        <w:right w:w="115.0" w:type="dxa"/>
      </w:tblCellMar>
    </w:tblPr>
  </w:style>
  <w:style w:type="table" w:styleId="afffff7" w:customStyle="1">
    <w:basedOn w:val="TableNormal9"/>
    <w:tblPr>
      <w:tblStyleRowBandSize w:val="1"/>
      <w:tblStyleColBandSize w:val="1"/>
      <w:tblCellMar>
        <w:top w:w="41.0" w:type="dxa"/>
        <w:left w:w="827.0" w:type="dxa"/>
        <w:right w:w="115.0" w:type="dxa"/>
      </w:tblCellMar>
    </w:tblPr>
  </w:style>
  <w:style w:type="table" w:styleId="afffff8" w:customStyle="1">
    <w:basedOn w:val="TableNormal9"/>
    <w:tblPr>
      <w:tblStyleRowBandSize w:val="1"/>
      <w:tblStyleColBandSize w:val="1"/>
      <w:tblCellMar>
        <w:top w:w="41.0" w:type="dxa"/>
        <w:left w:w="827.0" w:type="dxa"/>
        <w:right w:w="115.0" w:type="dxa"/>
      </w:tblCellMar>
    </w:tblPr>
  </w:style>
  <w:style w:type="table" w:styleId="afffff9" w:customStyle="1">
    <w:basedOn w:val="TableNormal9"/>
    <w:tblPr>
      <w:tblStyleRowBandSize w:val="1"/>
      <w:tblStyleColBandSize w:val="1"/>
      <w:tblCellMar>
        <w:top w:w="41.0" w:type="dxa"/>
        <w:left w:w="827.0" w:type="dxa"/>
        <w:right w:w="115.0" w:type="dxa"/>
      </w:tblCellMar>
    </w:tblPr>
  </w:style>
  <w:style w:type="table" w:styleId="afffffa" w:customStyle="1">
    <w:basedOn w:val="TableNormal9"/>
    <w:tblPr>
      <w:tblStyleRowBandSize w:val="1"/>
      <w:tblStyleColBandSize w:val="1"/>
      <w:tblCellMar>
        <w:top w:w="41.0" w:type="dxa"/>
        <w:left w:w="827.0" w:type="dxa"/>
        <w:right w:w="115.0" w:type="dxa"/>
      </w:tblCellMar>
    </w:tblPr>
  </w:style>
  <w:style w:type="table" w:styleId="afffffb" w:customStyle="1">
    <w:basedOn w:val="TableNormal9"/>
    <w:tblPr>
      <w:tblStyleRowBandSize w:val="1"/>
      <w:tblStyleColBandSize w:val="1"/>
      <w:tblCellMar>
        <w:top w:w="41.0" w:type="dxa"/>
        <w:left w:w="827.0" w:type="dxa"/>
        <w:right w:w="115.0" w:type="dxa"/>
      </w:tblCellMar>
    </w:tblPr>
  </w:style>
  <w:style w:type="table" w:styleId="afffffc" w:customStyle="1">
    <w:basedOn w:val="TableNormal9"/>
    <w:tblPr>
      <w:tblStyleRowBandSize w:val="1"/>
      <w:tblStyleColBandSize w:val="1"/>
      <w:tblCellMar>
        <w:top w:w="41.0" w:type="dxa"/>
        <w:left w:w="827.0" w:type="dxa"/>
        <w:right w:w="115.0" w:type="dxa"/>
      </w:tblCellMar>
    </w:tblPr>
  </w:style>
  <w:style w:type="table" w:styleId="afffffd" w:customStyle="1">
    <w:basedOn w:val="TableNormal9"/>
    <w:tblPr>
      <w:tblStyleRowBandSize w:val="1"/>
      <w:tblStyleColBandSize w:val="1"/>
      <w:tblCellMar>
        <w:top w:w="41.0" w:type="dxa"/>
        <w:left w:w="827.0" w:type="dxa"/>
        <w:right w:w="115.0" w:type="dxa"/>
      </w:tblCellMar>
    </w:tblPr>
  </w:style>
  <w:style w:type="table" w:styleId="afffffe" w:customStyle="1">
    <w:basedOn w:val="TableNormal9"/>
    <w:tblPr>
      <w:tblStyleRowBandSize w:val="1"/>
      <w:tblStyleColBandSize w:val="1"/>
      <w:tblCellMar>
        <w:top w:w="41.0" w:type="dxa"/>
        <w:left w:w="827.0" w:type="dxa"/>
        <w:right w:w="115.0" w:type="dxa"/>
      </w:tblCellMar>
    </w:tblPr>
  </w:style>
  <w:style w:type="table" w:styleId="affffff" w:customStyle="1">
    <w:basedOn w:val="TableNormal9"/>
    <w:tblPr>
      <w:tblStyleRowBandSize w:val="1"/>
      <w:tblStyleColBandSize w:val="1"/>
      <w:tblCellMar>
        <w:top w:w="41.0" w:type="dxa"/>
        <w:left w:w="827.0" w:type="dxa"/>
        <w:right w:w="115.0" w:type="dxa"/>
      </w:tblCellMar>
    </w:tblPr>
  </w:style>
  <w:style w:type="table" w:styleId="affffff0" w:customStyle="1">
    <w:basedOn w:val="TableNormal6"/>
    <w:tblPr>
      <w:tblStyleRowBandSize w:val="1"/>
      <w:tblStyleColBandSize w:val="1"/>
      <w:tblCellMar>
        <w:top w:w="41.0" w:type="dxa"/>
        <w:left w:w="827.0" w:type="dxa"/>
        <w:right w:w="115.0" w:type="dxa"/>
      </w:tblCellMar>
    </w:tblPr>
  </w:style>
  <w:style w:type="table" w:styleId="affffff1" w:customStyle="1">
    <w:basedOn w:val="TableNormal6"/>
    <w:tblPr>
      <w:tblStyleRowBandSize w:val="1"/>
      <w:tblStyleColBandSize w:val="1"/>
      <w:tblCellMar>
        <w:top w:w="41.0" w:type="dxa"/>
        <w:left w:w="827.0" w:type="dxa"/>
        <w:right w:w="115.0" w:type="dxa"/>
      </w:tblCellMar>
    </w:tblPr>
  </w:style>
  <w:style w:type="table" w:styleId="affffff2" w:customStyle="1">
    <w:basedOn w:val="TableNormal6"/>
    <w:tblPr>
      <w:tblStyleRowBandSize w:val="1"/>
      <w:tblStyleColBandSize w:val="1"/>
      <w:tblCellMar>
        <w:top w:w="41.0" w:type="dxa"/>
        <w:left w:w="827.0" w:type="dxa"/>
        <w:right w:w="115.0" w:type="dxa"/>
      </w:tblCellMar>
    </w:tblPr>
  </w:style>
  <w:style w:type="table" w:styleId="affffff3" w:customStyle="1">
    <w:basedOn w:val="TableNormal6"/>
    <w:tblPr>
      <w:tblStyleRowBandSize w:val="1"/>
      <w:tblStyleColBandSize w:val="1"/>
      <w:tblCellMar>
        <w:top w:w="41.0" w:type="dxa"/>
        <w:left w:w="827.0" w:type="dxa"/>
        <w:right w:w="115.0" w:type="dxa"/>
      </w:tblCellMar>
    </w:tblPr>
  </w:style>
  <w:style w:type="table" w:styleId="affffff4" w:customStyle="1">
    <w:basedOn w:val="TableNormal6"/>
    <w:tblPr>
      <w:tblStyleRowBandSize w:val="1"/>
      <w:tblStyleColBandSize w:val="1"/>
      <w:tblCellMar>
        <w:top w:w="41.0" w:type="dxa"/>
        <w:left w:w="827.0" w:type="dxa"/>
        <w:right w:w="115.0" w:type="dxa"/>
      </w:tblCellMar>
    </w:tblPr>
  </w:style>
  <w:style w:type="table" w:styleId="affffff5" w:customStyle="1">
    <w:basedOn w:val="TableNormal6"/>
    <w:tblPr>
      <w:tblStyleRowBandSize w:val="1"/>
      <w:tblStyleColBandSize w:val="1"/>
      <w:tblCellMar>
        <w:top w:w="41.0" w:type="dxa"/>
        <w:left w:w="827.0" w:type="dxa"/>
        <w:right w:w="115.0" w:type="dxa"/>
      </w:tblCellMar>
    </w:tblPr>
  </w:style>
  <w:style w:type="table" w:styleId="affffff6" w:customStyle="1">
    <w:basedOn w:val="TableNormal6"/>
    <w:tblPr>
      <w:tblStyleRowBandSize w:val="1"/>
      <w:tblStyleColBandSize w:val="1"/>
      <w:tblCellMar>
        <w:top w:w="41.0" w:type="dxa"/>
        <w:left w:w="827.0" w:type="dxa"/>
        <w:right w:w="115.0" w:type="dxa"/>
      </w:tblCellMar>
    </w:tblPr>
  </w:style>
  <w:style w:type="table" w:styleId="affffff7" w:customStyle="1">
    <w:basedOn w:val="TableNormal6"/>
    <w:tblPr>
      <w:tblStyleRowBandSize w:val="1"/>
      <w:tblStyleColBandSize w:val="1"/>
      <w:tblCellMar>
        <w:top w:w="41.0" w:type="dxa"/>
        <w:left w:w="827.0" w:type="dxa"/>
        <w:right w:w="115.0" w:type="dxa"/>
      </w:tblCellMar>
    </w:tblPr>
  </w:style>
  <w:style w:type="table" w:styleId="affffff8" w:customStyle="1">
    <w:basedOn w:val="TableNormal6"/>
    <w:tblPr>
      <w:tblStyleRowBandSize w:val="1"/>
      <w:tblStyleColBandSize w:val="1"/>
      <w:tblCellMar>
        <w:top w:w="41.0" w:type="dxa"/>
        <w:left w:w="827.0" w:type="dxa"/>
        <w:right w:w="115.0" w:type="dxa"/>
      </w:tblCellMar>
    </w:tblPr>
  </w:style>
  <w:style w:type="table" w:styleId="affffff9" w:customStyle="1">
    <w:basedOn w:val="TableNormal6"/>
    <w:tblPr>
      <w:tblStyleRowBandSize w:val="1"/>
      <w:tblStyleColBandSize w:val="1"/>
      <w:tblCellMar>
        <w:top w:w="41.0" w:type="dxa"/>
        <w:left w:w="827.0" w:type="dxa"/>
        <w:right w:w="115.0" w:type="dxa"/>
      </w:tblCellMar>
    </w:tblPr>
  </w:style>
  <w:style w:type="table" w:styleId="affffffa" w:customStyle="1">
    <w:basedOn w:val="TableNormal6"/>
    <w:tblPr>
      <w:tblStyleRowBandSize w:val="1"/>
      <w:tblStyleColBandSize w:val="1"/>
      <w:tblCellMar>
        <w:top w:w="41.0" w:type="dxa"/>
        <w:left w:w="827.0" w:type="dxa"/>
        <w:right w:w="115.0" w:type="dxa"/>
      </w:tblCellMar>
    </w:tblPr>
  </w:style>
  <w:style w:type="table" w:styleId="affffffb" w:customStyle="1">
    <w:basedOn w:val="TableNormal6"/>
    <w:tblPr>
      <w:tblStyleRowBandSize w:val="1"/>
      <w:tblStyleColBandSize w:val="1"/>
      <w:tblCellMar>
        <w:top w:w="41.0" w:type="dxa"/>
        <w:left w:w="827.0" w:type="dxa"/>
        <w:right w:w="115.0" w:type="dxa"/>
      </w:tblCellMar>
    </w:tblPr>
  </w:style>
  <w:style w:type="table" w:styleId="affffffc" w:customStyle="1">
    <w:basedOn w:val="TableNormal6"/>
    <w:tblPr>
      <w:tblStyleRowBandSize w:val="1"/>
      <w:tblStyleColBandSize w:val="1"/>
      <w:tblCellMar>
        <w:top w:w="41.0" w:type="dxa"/>
        <w:left w:w="827.0" w:type="dxa"/>
        <w:right w:w="115.0" w:type="dxa"/>
      </w:tblCellMar>
    </w:tblPr>
  </w:style>
  <w:style w:type="table" w:styleId="affffffd" w:customStyle="1">
    <w:basedOn w:val="TableNormal5"/>
    <w:tblPr>
      <w:tblStyleRowBandSize w:val="1"/>
      <w:tblStyleColBandSize w:val="1"/>
      <w:tblCellMar>
        <w:top w:w="41.0" w:type="dxa"/>
        <w:left w:w="827.0" w:type="dxa"/>
        <w:right w:w="115.0" w:type="dxa"/>
      </w:tblCellMar>
    </w:tblPr>
  </w:style>
  <w:style w:type="table" w:styleId="affffffe" w:customStyle="1">
    <w:basedOn w:val="TableNormal5"/>
    <w:tblPr>
      <w:tblStyleRowBandSize w:val="1"/>
      <w:tblStyleColBandSize w:val="1"/>
      <w:tblCellMar>
        <w:top w:w="41.0" w:type="dxa"/>
        <w:left w:w="827.0" w:type="dxa"/>
        <w:right w:w="115.0" w:type="dxa"/>
      </w:tblCellMar>
    </w:tblPr>
  </w:style>
  <w:style w:type="table" w:styleId="afffffff" w:customStyle="1">
    <w:basedOn w:val="TableNormal5"/>
    <w:tblPr>
      <w:tblStyleRowBandSize w:val="1"/>
      <w:tblStyleColBandSize w:val="1"/>
      <w:tblCellMar>
        <w:top w:w="41.0" w:type="dxa"/>
        <w:left w:w="827.0" w:type="dxa"/>
        <w:right w:w="115.0" w:type="dxa"/>
      </w:tblCellMar>
    </w:tblPr>
  </w:style>
  <w:style w:type="table" w:styleId="afffffff0" w:customStyle="1">
    <w:basedOn w:val="TableNormal5"/>
    <w:tblPr>
      <w:tblStyleRowBandSize w:val="1"/>
      <w:tblStyleColBandSize w:val="1"/>
      <w:tblCellMar>
        <w:top w:w="41.0" w:type="dxa"/>
        <w:left w:w="827.0" w:type="dxa"/>
        <w:right w:w="115.0" w:type="dxa"/>
      </w:tblCellMar>
    </w:tblPr>
  </w:style>
  <w:style w:type="table" w:styleId="afffffff1" w:customStyle="1">
    <w:basedOn w:val="TableNormal5"/>
    <w:tblPr>
      <w:tblStyleRowBandSize w:val="1"/>
      <w:tblStyleColBandSize w:val="1"/>
      <w:tblCellMar>
        <w:top w:w="41.0" w:type="dxa"/>
        <w:left w:w="827.0" w:type="dxa"/>
        <w:right w:w="115.0" w:type="dxa"/>
      </w:tblCellMar>
    </w:tblPr>
  </w:style>
  <w:style w:type="table" w:styleId="afffffff2" w:customStyle="1">
    <w:basedOn w:val="TableNormal5"/>
    <w:tblPr>
      <w:tblStyleRowBandSize w:val="1"/>
      <w:tblStyleColBandSize w:val="1"/>
      <w:tblCellMar>
        <w:top w:w="41.0" w:type="dxa"/>
        <w:left w:w="827.0" w:type="dxa"/>
        <w:right w:w="115.0" w:type="dxa"/>
      </w:tblCellMar>
    </w:tblPr>
  </w:style>
  <w:style w:type="table" w:styleId="afffffff3" w:customStyle="1">
    <w:basedOn w:val="TableNormal5"/>
    <w:tblPr>
      <w:tblStyleRowBandSize w:val="1"/>
      <w:tblStyleColBandSize w:val="1"/>
      <w:tblCellMar>
        <w:top w:w="41.0" w:type="dxa"/>
        <w:left w:w="827.0" w:type="dxa"/>
        <w:right w:w="115.0" w:type="dxa"/>
      </w:tblCellMar>
    </w:tblPr>
  </w:style>
  <w:style w:type="table" w:styleId="afffffff4" w:customStyle="1">
    <w:basedOn w:val="TableNormal5"/>
    <w:tblPr>
      <w:tblStyleRowBandSize w:val="1"/>
      <w:tblStyleColBandSize w:val="1"/>
      <w:tblCellMar>
        <w:top w:w="41.0" w:type="dxa"/>
        <w:left w:w="827.0" w:type="dxa"/>
        <w:right w:w="115.0" w:type="dxa"/>
      </w:tblCellMar>
    </w:tblPr>
  </w:style>
  <w:style w:type="table" w:styleId="afffffff5" w:customStyle="1">
    <w:basedOn w:val="TableNormal5"/>
    <w:tblPr>
      <w:tblStyleRowBandSize w:val="1"/>
      <w:tblStyleColBandSize w:val="1"/>
      <w:tblCellMar>
        <w:top w:w="41.0" w:type="dxa"/>
        <w:left w:w="827.0" w:type="dxa"/>
        <w:right w:w="115.0" w:type="dxa"/>
      </w:tblCellMar>
    </w:tblPr>
  </w:style>
  <w:style w:type="table" w:styleId="afffffff6" w:customStyle="1">
    <w:basedOn w:val="TableNormal5"/>
    <w:tblPr>
      <w:tblStyleRowBandSize w:val="1"/>
      <w:tblStyleColBandSize w:val="1"/>
      <w:tblCellMar>
        <w:top w:w="41.0" w:type="dxa"/>
        <w:left w:w="827.0" w:type="dxa"/>
        <w:right w:w="115.0" w:type="dxa"/>
      </w:tblCellMar>
    </w:tblPr>
  </w:style>
  <w:style w:type="table" w:styleId="afffffff7" w:customStyle="1">
    <w:basedOn w:val="TableNormal5"/>
    <w:tblPr>
      <w:tblStyleRowBandSize w:val="1"/>
      <w:tblStyleColBandSize w:val="1"/>
      <w:tblCellMar>
        <w:top w:w="41.0" w:type="dxa"/>
        <w:left w:w="827.0" w:type="dxa"/>
        <w:right w:w="115.0" w:type="dxa"/>
      </w:tblCellMar>
    </w:tblPr>
  </w:style>
  <w:style w:type="table" w:styleId="afffffff8" w:customStyle="1">
    <w:basedOn w:val="TableNormal5"/>
    <w:tblPr>
      <w:tblStyleRowBandSize w:val="1"/>
      <w:tblStyleColBandSize w:val="1"/>
      <w:tblCellMar>
        <w:top w:w="41.0" w:type="dxa"/>
        <w:left w:w="827.0" w:type="dxa"/>
        <w:right w:w="115.0" w:type="dxa"/>
      </w:tblCellMar>
    </w:tblPr>
  </w:style>
  <w:style w:type="table" w:styleId="afffffff9" w:customStyle="1">
    <w:basedOn w:val="TableNormal5"/>
    <w:tblPr>
      <w:tblStyleRowBandSize w:val="1"/>
      <w:tblStyleColBandSize w:val="1"/>
      <w:tblCellMar>
        <w:top w:w="41.0" w:type="dxa"/>
        <w:left w:w="827.0" w:type="dxa"/>
        <w:right w:w="115.0" w:type="dxa"/>
      </w:tblCellMar>
    </w:tblPr>
  </w:style>
  <w:style w:type="table" w:styleId="afffffffa" w:customStyle="1">
    <w:basedOn w:val="TableNormal5"/>
    <w:tblPr>
      <w:tblStyleRowBandSize w:val="1"/>
      <w:tblStyleColBandSize w:val="1"/>
      <w:tblCellMar>
        <w:top w:w="41.0" w:type="dxa"/>
        <w:left w:w="827.0" w:type="dxa"/>
        <w:right w:w="115.0" w:type="dxa"/>
      </w:tblCellMar>
    </w:tblPr>
  </w:style>
  <w:style w:type="table" w:styleId="afffffffb" w:customStyle="1">
    <w:basedOn w:val="TableNormal5"/>
    <w:tblPr>
      <w:tblStyleRowBandSize w:val="1"/>
      <w:tblStyleColBandSize w:val="1"/>
      <w:tblCellMar>
        <w:top w:w="41.0" w:type="dxa"/>
        <w:left w:w="827.0" w:type="dxa"/>
        <w:right w:w="115.0" w:type="dxa"/>
      </w:tblCellMar>
    </w:tblPr>
  </w:style>
  <w:style w:type="table" w:styleId="afffffffc" w:customStyle="1">
    <w:basedOn w:val="TableNormal5"/>
    <w:tblPr>
      <w:tblStyleRowBandSize w:val="1"/>
      <w:tblStyleColBandSize w:val="1"/>
      <w:tblCellMar>
        <w:top w:w="41.0" w:type="dxa"/>
        <w:left w:w="827.0" w:type="dxa"/>
        <w:right w:w="115.0" w:type="dxa"/>
      </w:tblCellMar>
    </w:tblPr>
  </w:style>
  <w:style w:type="table" w:styleId="afffffffd" w:customStyle="1">
    <w:basedOn w:val="TableNormal5"/>
    <w:tblPr>
      <w:tblStyleRowBandSize w:val="1"/>
      <w:tblStyleColBandSize w:val="1"/>
      <w:tblCellMar>
        <w:top w:w="41.0" w:type="dxa"/>
        <w:left w:w="827.0" w:type="dxa"/>
        <w:right w:w="115.0" w:type="dxa"/>
      </w:tblCellMar>
    </w:tblPr>
  </w:style>
  <w:style w:type="table" w:styleId="afffffffe" w:customStyle="1">
    <w:basedOn w:val="TableNormal5"/>
    <w:tblPr>
      <w:tblStyleRowBandSize w:val="1"/>
      <w:tblStyleColBandSize w:val="1"/>
      <w:tblCellMar>
        <w:top w:w="41.0" w:type="dxa"/>
        <w:left w:w="827.0" w:type="dxa"/>
        <w:right w:w="115.0" w:type="dxa"/>
      </w:tblCellMar>
    </w:tblPr>
  </w:style>
  <w:style w:type="table" w:styleId="affffffff" w:customStyle="1">
    <w:basedOn w:val="TableNormal5"/>
    <w:tblPr>
      <w:tblStyleRowBandSize w:val="1"/>
      <w:tblStyleColBandSize w:val="1"/>
      <w:tblCellMar>
        <w:top w:w="41.0" w:type="dxa"/>
        <w:left w:w="827.0" w:type="dxa"/>
        <w:right w:w="115.0" w:type="dxa"/>
      </w:tblCellMar>
    </w:tblPr>
  </w:style>
  <w:style w:type="table" w:styleId="affffffff0" w:customStyle="1">
    <w:basedOn w:val="TableNormal5"/>
    <w:tblPr>
      <w:tblStyleRowBandSize w:val="1"/>
      <w:tblStyleColBandSize w:val="1"/>
      <w:tblCellMar>
        <w:top w:w="41.0" w:type="dxa"/>
        <w:left w:w="827.0" w:type="dxa"/>
        <w:right w:w="115.0" w:type="dxa"/>
      </w:tblCellMar>
    </w:tblPr>
  </w:style>
  <w:style w:type="table" w:styleId="affffffff1" w:customStyle="1">
    <w:basedOn w:val="TableNormal5"/>
    <w:tblPr>
      <w:tblStyleRowBandSize w:val="1"/>
      <w:tblStyleColBandSize w:val="1"/>
      <w:tblCellMar>
        <w:top w:w="41.0" w:type="dxa"/>
        <w:left w:w="827.0" w:type="dxa"/>
        <w:right w:w="115.0" w:type="dxa"/>
      </w:tblCellMar>
    </w:tblPr>
  </w:style>
  <w:style w:type="table" w:styleId="affffffff2" w:customStyle="1">
    <w:basedOn w:val="TableNormal5"/>
    <w:tblPr>
      <w:tblStyleRowBandSize w:val="1"/>
      <w:tblStyleColBandSize w:val="1"/>
      <w:tblCellMar>
        <w:top w:w="41.0" w:type="dxa"/>
        <w:left w:w="827.0" w:type="dxa"/>
        <w:right w:w="115.0" w:type="dxa"/>
      </w:tblCellMar>
    </w:tblPr>
  </w:style>
  <w:style w:type="table" w:styleId="affffffff3" w:customStyle="1">
    <w:basedOn w:val="TableNormal5"/>
    <w:tblPr>
      <w:tblStyleRowBandSize w:val="1"/>
      <w:tblStyleColBandSize w:val="1"/>
      <w:tblCellMar>
        <w:top w:w="41.0" w:type="dxa"/>
        <w:left w:w="827.0" w:type="dxa"/>
        <w:right w:w="115.0" w:type="dxa"/>
      </w:tblCellMar>
    </w:tblPr>
  </w:style>
  <w:style w:type="table" w:styleId="affffffff4" w:customStyle="1">
    <w:basedOn w:val="TableNormal5"/>
    <w:tblPr>
      <w:tblStyleRowBandSize w:val="1"/>
      <w:tblStyleColBandSize w:val="1"/>
      <w:tblCellMar>
        <w:top w:w="41.0" w:type="dxa"/>
        <w:left w:w="827.0" w:type="dxa"/>
        <w:right w:w="115.0" w:type="dxa"/>
      </w:tblCellMar>
    </w:tblPr>
  </w:style>
  <w:style w:type="table" w:styleId="affffffff5" w:customStyle="1">
    <w:basedOn w:val="TableNormal5"/>
    <w:tblPr>
      <w:tblStyleRowBandSize w:val="1"/>
      <w:tblStyleColBandSize w:val="1"/>
      <w:tblCellMar>
        <w:top w:w="41.0" w:type="dxa"/>
        <w:left w:w="827.0" w:type="dxa"/>
        <w:right w:w="115.0" w:type="dxa"/>
      </w:tblCellMar>
    </w:tblPr>
  </w:style>
  <w:style w:type="table" w:styleId="affffffff6" w:customStyle="1">
    <w:basedOn w:val="TableNormal3"/>
    <w:tblPr>
      <w:tblStyleRowBandSize w:val="1"/>
      <w:tblStyleColBandSize w:val="1"/>
      <w:tblCellMar>
        <w:top w:w="41.0" w:type="dxa"/>
        <w:left w:w="827.0" w:type="dxa"/>
        <w:right w:w="115.0" w:type="dxa"/>
      </w:tblCellMar>
    </w:tblPr>
  </w:style>
  <w:style w:type="table" w:styleId="affffffff7" w:customStyle="1">
    <w:basedOn w:val="TableNormal3"/>
    <w:tblPr>
      <w:tblStyleRowBandSize w:val="1"/>
      <w:tblStyleColBandSize w:val="1"/>
      <w:tblCellMar>
        <w:top w:w="41.0" w:type="dxa"/>
        <w:left w:w="827.0" w:type="dxa"/>
        <w:right w:w="115.0" w:type="dxa"/>
      </w:tblCellMar>
    </w:tblPr>
  </w:style>
  <w:style w:type="table" w:styleId="affffffff8" w:customStyle="1">
    <w:basedOn w:val="TableNormal3"/>
    <w:tblPr>
      <w:tblStyleRowBandSize w:val="1"/>
      <w:tblStyleColBandSize w:val="1"/>
      <w:tblCellMar>
        <w:top w:w="41.0" w:type="dxa"/>
        <w:left w:w="827.0" w:type="dxa"/>
        <w:right w:w="115.0" w:type="dxa"/>
      </w:tblCellMar>
    </w:tblPr>
  </w:style>
  <w:style w:type="table" w:styleId="affffffff9" w:customStyle="1">
    <w:basedOn w:val="TableNormal3"/>
    <w:tblPr>
      <w:tblStyleRowBandSize w:val="1"/>
      <w:tblStyleColBandSize w:val="1"/>
      <w:tblCellMar>
        <w:top w:w="41.0" w:type="dxa"/>
        <w:left w:w="827.0" w:type="dxa"/>
        <w:right w:w="115.0" w:type="dxa"/>
      </w:tblCellMar>
    </w:tblPr>
  </w:style>
  <w:style w:type="table" w:styleId="affffffffa" w:customStyle="1">
    <w:basedOn w:val="TableNormal3"/>
    <w:tblPr>
      <w:tblStyleRowBandSize w:val="1"/>
      <w:tblStyleColBandSize w:val="1"/>
      <w:tblCellMar>
        <w:top w:w="41.0" w:type="dxa"/>
        <w:left w:w="827.0" w:type="dxa"/>
        <w:right w:w="115.0" w:type="dxa"/>
      </w:tblCellMar>
    </w:tblPr>
  </w:style>
  <w:style w:type="table" w:styleId="affffffffb" w:customStyle="1">
    <w:basedOn w:val="TableNormal3"/>
    <w:tblPr>
      <w:tblStyleRowBandSize w:val="1"/>
      <w:tblStyleColBandSize w:val="1"/>
      <w:tblCellMar>
        <w:top w:w="41.0" w:type="dxa"/>
        <w:left w:w="827.0" w:type="dxa"/>
        <w:right w:w="115.0" w:type="dxa"/>
      </w:tblCellMar>
    </w:tblPr>
  </w:style>
  <w:style w:type="table" w:styleId="affffffffc" w:customStyle="1">
    <w:basedOn w:val="TableNormal3"/>
    <w:tblPr>
      <w:tblStyleRowBandSize w:val="1"/>
      <w:tblStyleColBandSize w:val="1"/>
      <w:tblCellMar>
        <w:top w:w="41.0" w:type="dxa"/>
        <w:left w:w="827.0" w:type="dxa"/>
        <w:right w:w="115.0" w:type="dxa"/>
      </w:tblCellMar>
    </w:tblPr>
  </w:style>
  <w:style w:type="table" w:styleId="affffffffd" w:customStyle="1">
    <w:basedOn w:val="TableNormal3"/>
    <w:tblPr>
      <w:tblStyleRowBandSize w:val="1"/>
      <w:tblStyleColBandSize w:val="1"/>
      <w:tblCellMar>
        <w:top w:w="41.0" w:type="dxa"/>
        <w:left w:w="827.0" w:type="dxa"/>
        <w:right w:w="115.0" w:type="dxa"/>
      </w:tblCellMar>
    </w:tblPr>
  </w:style>
  <w:style w:type="table" w:styleId="affffffffe" w:customStyle="1">
    <w:basedOn w:val="TableNormal3"/>
    <w:tblPr>
      <w:tblStyleRowBandSize w:val="1"/>
      <w:tblStyleColBandSize w:val="1"/>
      <w:tblCellMar>
        <w:top w:w="41.0" w:type="dxa"/>
        <w:left w:w="827.0" w:type="dxa"/>
        <w:right w:w="115.0" w:type="dxa"/>
      </w:tblCellMar>
    </w:tblPr>
  </w:style>
  <w:style w:type="table" w:styleId="afffffffff" w:customStyle="1">
    <w:basedOn w:val="TableNormal3"/>
    <w:tblPr>
      <w:tblStyleRowBandSize w:val="1"/>
      <w:tblStyleColBandSize w:val="1"/>
      <w:tblCellMar>
        <w:top w:w="41.0" w:type="dxa"/>
        <w:left w:w="827.0" w:type="dxa"/>
        <w:right w:w="115.0" w:type="dxa"/>
      </w:tblCellMar>
    </w:tblPr>
  </w:style>
  <w:style w:type="table" w:styleId="afffffffff0" w:customStyle="1">
    <w:basedOn w:val="TableNormal3"/>
    <w:tblPr>
      <w:tblStyleRowBandSize w:val="1"/>
      <w:tblStyleColBandSize w:val="1"/>
      <w:tblCellMar>
        <w:top w:w="41.0" w:type="dxa"/>
        <w:left w:w="827.0" w:type="dxa"/>
        <w:right w:w="115.0" w:type="dxa"/>
      </w:tblCellMar>
    </w:tblPr>
  </w:style>
  <w:style w:type="table" w:styleId="afffffffff1" w:customStyle="1">
    <w:basedOn w:val="TableNormal3"/>
    <w:tblPr>
      <w:tblStyleRowBandSize w:val="1"/>
      <w:tblStyleColBandSize w:val="1"/>
      <w:tblCellMar>
        <w:top w:w="41.0" w:type="dxa"/>
        <w:left w:w="827.0" w:type="dxa"/>
        <w:right w:w="115.0" w:type="dxa"/>
      </w:tblCellMar>
    </w:tblPr>
  </w:style>
  <w:style w:type="table" w:styleId="afffffffff2" w:customStyle="1">
    <w:basedOn w:val="TableNormal3"/>
    <w:tblPr>
      <w:tblStyleRowBandSize w:val="1"/>
      <w:tblStyleColBandSize w:val="1"/>
      <w:tblCellMar>
        <w:top w:w="41.0" w:type="dxa"/>
        <w:left w:w="827.0" w:type="dxa"/>
        <w:right w:w="115.0" w:type="dxa"/>
      </w:tblCellMar>
    </w:tblPr>
  </w:style>
  <w:style w:type="table" w:styleId="afffffffff3" w:customStyle="1">
    <w:basedOn w:val="TableNormal3"/>
    <w:tblPr>
      <w:tblStyleRowBandSize w:val="1"/>
      <w:tblStyleColBandSize w:val="1"/>
      <w:tblCellMar>
        <w:top w:w="41.0" w:type="dxa"/>
        <w:left w:w="827.0" w:type="dxa"/>
        <w:right w:w="115.0" w:type="dxa"/>
      </w:tblCellMar>
    </w:tblPr>
  </w:style>
  <w:style w:type="table" w:styleId="afffffffff4" w:customStyle="1">
    <w:basedOn w:val="TableNormal3"/>
    <w:tblPr>
      <w:tblStyleRowBandSize w:val="1"/>
      <w:tblStyleColBandSize w:val="1"/>
      <w:tblCellMar>
        <w:top w:w="41.0" w:type="dxa"/>
        <w:left w:w="827.0" w:type="dxa"/>
        <w:right w:w="115.0" w:type="dxa"/>
      </w:tblCellMar>
    </w:tblPr>
  </w:style>
  <w:style w:type="table" w:styleId="afffffffff5" w:customStyle="1">
    <w:basedOn w:val="TableNormal3"/>
    <w:tblPr>
      <w:tblStyleRowBandSize w:val="1"/>
      <w:tblStyleColBandSize w:val="1"/>
      <w:tblCellMar>
        <w:top w:w="41.0" w:type="dxa"/>
        <w:left w:w="827.0" w:type="dxa"/>
        <w:right w:w="115.0" w:type="dxa"/>
      </w:tblCellMar>
    </w:tblPr>
  </w:style>
  <w:style w:type="table" w:styleId="afffffffff6" w:customStyle="1">
    <w:basedOn w:val="TableNormal3"/>
    <w:tblPr>
      <w:tblStyleRowBandSize w:val="1"/>
      <w:tblStyleColBandSize w:val="1"/>
      <w:tblCellMar>
        <w:top w:w="41.0" w:type="dxa"/>
        <w:left w:w="827.0" w:type="dxa"/>
        <w:right w:w="115.0" w:type="dxa"/>
      </w:tblCellMar>
    </w:tblPr>
  </w:style>
  <w:style w:type="table" w:styleId="afffffffff7" w:customStyle="1">
    <w:basedOn w:val="TableNormal3"/>
    <w:tblPr>
      <w:tblStyleRowBandSize w:val="1"/>
      <w:tblStyleColBandSize w:val="1"/>
      <w:tblCellMar>
        <w:top w:w="41.0" w:type="dxa"/>
        <w:left w:w="827.0" w:type="dxa"/>
        <w:right w:w="115.0" w:type="dxa"/>
      </w:tblCellMar>
    </w:tblPr>
  </w:style>
  <w:style w:type="table" w:styleId="afffffffff8" w:customStyle="1">
    <w:basedOn w:val="TableNormal3"/>
    <w:tblPr>
      <w:tblStyleRowBandSize w:val="1"/>
      <w:tblStyleColBandSize w:val="1"/>
      <w:tblCellMar>
        <w:top w:w="41.0" w:type="dxa"/>
        <w:left w:w="827.0" w:type="dxa"/>
        <w:right w:w="115.0" w:type="dxa"/>
      </w:tblCellMar>
    </w:tblPr>
  </w:style>
  <w:style w:type="table" w:styleId="afffffffff9" w:customStyle="1">
    <w:basedOn w:val="TableNormal3"/>
    <w:tblPr>
      <w:tblStyleRowBandSize w:val="1"/>
      <w:tblStyleColBandSize w:val="1"/>
      <w:tblCellMar>
        <w:top w:w="41.0" w:type="dxa"/>
        <w:left w:w="827.0" w:type="dxa"/>
        <w:right w:w="115.0" w:type="dxa"/>
      </w:tblCellMar>
    </w:tblPr>
  </w:style>
  <w:style w:type="table" w:styleId="afffffffffa" w:customStyle="1">
    <w:basedOn w:val="TableNormal3"/>
    <w:tblPr>
      <w:tblStyleRowBandSize w:val="1"/>
      <w:tblStyleColBandSize w:val="1"/>
      <w:tblCellMar>
        <w:top w:w="41.0" w:type="dxa"/>
        <w:left w:w="827.0" w:type="dxa"/>
        <w:right w:w="115.0" w:type="dxa"/>
      </w:tblCellMar>
    </w:tblPr>
  </w:style>
  <w:style w:type="table" w:styleId="afffffffffb" w:customStyle="1">
    <w:basedOn w:val="TableNormal3"/>
    <w:tblPr>
      <w:tblStyleRowBandSize w:val="1"/>
      <w:tblStyleColBandSize w:val="1"/>
      <w:tblCellMar>
        <w:top w:w="41.0" w:type="dxa"/>
        <w:left w:w="827.0" w:type="dxa"/>
        <w:right w:w="115.0" w:type="dxa"/>
      </w:tblCellMar>
    </w:tblPr>
  </w:style>
  <w:style w:type="table" w:styleId="afffffffffc" w:customStyle="1">
    <w:basedOn w:val="TableNormal3"/>
    <w:tblPr>
      <w:tblStyleRowBandSize w:val="1"/>
      <w:tblStyleColBandSize w:val="1"/>
      <w:tblCellMar>
        <w:top w:w="41.0" w:type="dxa"/>
        <w:left w:w="827.0" w:type="dxa"/>
        <w:right w:w="115.0" w:type="dxa"/>
      </w:tblCellMar>
    </w:tblPr>
  </w:style>
  <w:style w:type="table" w:styleId="afffffffffd" w:customStyle="1">
    <w:basedOn w:val="TableNormal3"/>
    <w:tblPr>
      <w:tblStyleRowBandSize w:val="1"/>
      <w:tblStyleColBandSize w:val="1"/>
      <w:tblCellMar>
        <w:top w:w="41.0" w:type="dxa"/>
        <w:left w:w="827.0" w:type="dxa"/>
        <w:right w:w="115.0" w:type="dxa"/>
      </w:tblCellMar>
    </w:tblPr>
  </w:style>
  <w:style w:type="table" w:styleId="afffffffffe" w:customStyle="1">
    <w:basedOn w:val="TableNormal3"/>
    <w:tblPr>
      <w:tblStyleRowBandSize w:val="1"/>
      <w:tblStyleColBandSize w:val="1"/>
      <w:tblCellMar>
        <w:top w:w="41.0" w:type="dxa"/>
        <w:left w:w="827.0" w:type="dxa"/>
        <w:right w:w="115.0" w:type="dxa"/>
      </w:tblCellMar>
    </w:tblPr>
  </w:style>
  <w:style w:type="table" w:styleId="affffffffff" w:customStyle="1">
    <w:basedOn w:val="TableNormal3"/>
    <w:tblPr>
      <w:tblStyleRowBandSize w:val="1"/>
      <w:tblStyleColBandSize w:val="1"/>
      <w:tblCellMar>
        <w:top w:w="41.0" w:type="dxa"/>
        <w:left w:w="827.0" w:type="dxa"/>
        <w:right w:w="115.0" w:type="dxa"/>
      </w:tblCellMar>
    </w:tblPr>
  </w:style>
  <w:style w:type="table" w:styleId="affffffffff0" w:customStyle="1">
    <w:basedOn w:val="TableNormal3"/>
    <w:tblPr>
      <w:tblStyleRowBandSize w:val="1"/>
      <w:tblStyleColBandSize w:val="1"/>
      <w:tblCellMar>
        <w:top w:w="41.0" w:type="dxa"/>
        <w:left w:w="827.0" w:type="dxa"/>
        <w:right w:w="115.0" w:type="dxa"/>
      </w:tblCellMar>
    </w:tblPr>
  </w:style>
  <w:style w:type="table" w:styleId="affffffffff1" w:customStyle="1">
    <w:basedOn w:val="TableNormal3"/>
    <w:tblPr>
      <w:tblStyleRowBandSize w:val="1"/>
      <w:tblStyleColBandSize w:val="1"/>
      <w:tblCellMar>
        <w:top w:w="41.0" w:type="dxa"/>
        <w:left w:w="827.0" w:type="dxa"/>
        <w:right w:w="115.0" w:type="dxa"/>
      </w:tblCellMar>
    </w:tblPr>
  </w:style>
  <w:style w:type="table" w:styleId="affffffffff2" w:customStyle="1">
    <w:basedOn w:val="TableNormal3"/>
    <w:tblPr>
      <w:tblStyleRowBandSize w:val="1"/>
      <w:tblStyleColBandSize w:val="1"/>
      <w:tblCellMar>
        <w:top w:w="41.0" w:type="dxa"/>
        <w:left w:w="827.0" w:type="dxa"/>
        <w:right w:w="115.0" w:type="dxa"/>
      </w:tblCellMar>
    </w:tblPr>
  </w:style>
  <w:style w:type="table" w:styleId="affffffffff3" w:customStyle="1">
    <w:basedOn w:val="TableNormal3"/>
    <w:tblPr>
      <w:tblStyleRowBandSize w:val="1"/>
      <w:tblStyleColBandSize w:val="1"/>
      <w:tblCellMar>
        <w:top w:w="41.0" w:type="dxa"/>
        <w:left w:w="827.0" w:type="dxa"/>
        <w:right w:w="115.0" w:type="dxa"/>
      </w:tblCellMar>
    </w:tblPr>
  </w:style>
  <w:style w:type="table" w:styleId="affffffffff4" w:customStyle="1">
    <w:basedOn w:val="TableNormal3"/>
    <w:tblPr>
      <w:tblStyleRowBandSize w:val="1"/>
      <w:tblStyleColBandSize w:val="1"/>
      <w:tblCellMar>
        <w:top w:w="41.0" w:type="dxa"/>
        <w:left w:w="827.0" w:type="dxa"/>
        <w:right w:w="115.0" w:type="dxa"/>
      </w:tblCellMar>
    </w:tblPr>
  </w:style>
  <w:style w:type="table" w:styleId="affffffffff5" w:customStyle="1">
    <w:basedOn w:val="TableNormal3"/>
    <w:tblPr>
      <w:tblStyleRowBandSize w:val="1"/>
      <w:tblStyleColBandSize w:val="1"/>
      <w:tblCellMar>
        <w:top w:w="41.0" w:type="dxa"/>
        <w:left w:w="827.0" w:type="dxa"/>
        <w:right w:w="115.0" w:type="dxa"/>
      </w:tblCellMar>
    </w:tblPr>
  </w:style>
  <w:style w:type="table" w:styleId="affffffffff6" w:customStyle="1">
    <w:basedOn w:val="TableNormal3"/>
    <w:tblPr>
      <w:tblStyleRowBandSize w:val="1"/>
      <w:tblStyleColBandSize w:val="1"/>
      <w:tblCellMar>
        <w:top w:w="41.0" w:type="dxa"/>
        <w:left w:w="827.0" w:type="dxa"/>
        <w:right w:w="115.0" w:type="dxa"/>
      </w:tblCellMar>
    </w:tblPr>
  </w:style>
  <w:style w:type="table" w:styleId="affffffffff7" w:customStyle="1">
    <w:basedOn w:val="TableNormal3"/>
    <w:tblPr>
      <w:tblStyleRowBandSize w:val="1"/>
      <w:tblStyleColBandSize w:val="1"/>
      <w:tblCellMar>
        <w:top w:w="41.0" w:type="dxa"/>
        <w:left w:w="827.0" w:type="dxa"/>
        <w:right w:w="115.0" w:type="dxa"/>
      </w:tblCellMar>
    </w:tblPr>
  </w:style>
  <w:style w:type="table" w:styleId="affffffffff8" w:customStyle="1">
    <w:basedOn w:val="TableNormal3"/>
    <w:tblPr>
      <w:tblStyleRowBandSize w:val="1"/>
      <w:tblStyleColBandSize w:val="1"/>
      <w:tblCellMar>
        <w:top w:w="41.0" w:type="dxa"/>
        <w:left w:w="827.0" w:type="dxa"/>
        <w:right w:w="115.0" w:type="dxa"/>
      </w:tblCellMar>
    </w:tblPr>
  </w:style>
  <w:style w:type="table" w:styleId="affffffffff9" w:customStyle="1">
    <w:basedOn w:val="TableNormal3"/>
    <w:tblPr>
      <w:tblStyleRowBandSize w:val="1"/>
      <w:tblStyleColBandSize w:val="1"/>
      <w:tblCellMar>
        <w:top w:w="41.0" w:type="dxa"/>
        <w:left w:w="827.0" w:type="dxa"/>
        <w:right w:w="115.0" w:type="dxa"/>
      </w:tblCellMar>
    </w:tblPr>
  </w:style>
  <w:style w:type="table" w:styleId="affffffffffa" w:customStyle="1">
    <w:basedOn w:val="TableNormal3"/>
    <w:tblPr>
      <w:tblStyleRowBandSize w:val="1"/>
      <w:tblStyleColBandSize w:val="1"/>
      <w:tblCellMar>
        <w:top w:w="100.0" w:type="dxa"/>
        <w:left w:w="100.0" w:type="dxa"/>
        <w:bottom w:w="100.0" w:type="dxa"/>
        <w:right w:w="100.0" w:type="dxa"/>
      </w:tblCellMar>
    </w:tblPr>
  </w:style>
  <w:style w:type="table" w:styleId="affffffffffb" w:customStyle="1">
    <w:basedOn w:val="TableNormal3"/>
    <w:tblPr>
      <w:tblStyleRowBandSize w:val="1"/>
      <w:tblStyleColBandSize w:val="1"/>
      <w:tblCellMar>
        <w:top w:w="41.0" w:type="dxa"/>
        <w:left w:w="827.0" w:type="dxa"/>
        <w:right w:w="115.0" w:type="dxa"/>
      </w:tblCellMar>
    </w:tblPr>
  </w:style>
  <w:style w:type="table" w:styleId="affffffffffc" w:customStyle="1">
    <w:basedOn w:val="TableNormal3"/>
    <w:tblPr>
      <w:tblStyleRowBandSize w:val="1"/>
      <w:tblStyleColBandSize w:val="1"/>
      <w:tblCellMar>
        <w:top w:w="41.0" w:type="dxa"/>
        <w:left w:w="827.0" w:type="dxa"/>
        <w:right w:w="115.0" w:type="dxa"/>
      </w:tblCellMar>
    </w:tblPr>
  </w:style>
  <w:style w:type="table" w:styleId="affffffffffd" w:customStyle="1">
    <w:basedOn w:val="TableNormal3"/>
    <w:tblPr>
      <w:tblStyleRowBandSize w:val="1"/>
      <w:tblStyleColBandSize w:val="1"/>
      <w:tblCellMar>
        <w:top w:w="41.0" w:type="dxa"/>
        <w:left w:w="827.0" w:type="dxa"/>
        <w:right w:w="115.0" w:type="dxa"/>
      </w:tblCellMar>
    </w:tblPr>
  </w:style>
  <w:style w:type="table" w:styleId="affffffffffe" w:customStyle="1">
    <w:basedOn w:val="TableNormal3"/>
    <w:tblPr>
      <w:tblStyleRowBandSize w:val="1"/>
      <w:tblStyleColBandSize w:val="1"/>
      <w:tblCellMar>
        <w:top w:w="41.0" w:type="dxa"/>
        <w:left w:w="827.0" w:type="dxa"/>
        <w:right w:w="115.0" w:type="dxa"/>
      </w:tblCellMar>
    </w:tblPr>
  </w:style>
  <w:style w:type="table" w:styleId="afffffffffff" w:customStyle="1">
    <w:basedOn w:val="TableNormal3"/>
    <w:tblPr>
      <w:tblStyleRowBandSize w:val="1"/>
      <w:tblStyleColBandSize w:val="1"/>
      <w:tblCellMar>
        <w:top w:w="41.0" w:type="dxa"/>
        <w:left w:w="827.0" w:type="dxa"/>
        <w:right w:w="115.0" w:type="dxa"/>
      </w:tblCellMar>
    </w:tblPr>
  </w:style>
  <w:style w:type="table" w:styleId="afffffffffff0" w:customStyle="1">
    <w:basedOn w:val="TableNormal3"/>
    <w:tblPr>
      <w:tblStyleRowBandSize w:val="1"/>
      <w:tblStyleColBandSize w:val="1"/>
      <w:tblCellMar>
        <w:top w:w="41.0" w:type="dxa"/>
        <w:left w:w="827.0" w:type="dxa"/>
        <w:right w:w="115.0" w:type="dxa"/>
      </w:tblCellMar>
    </w:tblPr>
  </w:style>
  <w:style w:type="table" w:styleId="afffffffffff1" w:customStyle="1">
    <w:basedOn w:val="TableNormal3"/>
    <w:tblPr>
      <w:tblStyleRowBandSize w:val="1"/>
      <w:tblStyleColBandSize w:val="1"/>
      <w:tblCellMar>
        <w:top w:w="41.0" w:type="dxa"/>
        <w:left w:w="827.0" w:type="dxa"/>
        <w:right w:w="115.0" w:type="dxa"/>
      </w:tblCellMar>
    </w:tblPr>
  </w:style>
  <w:style w:type="table" w:styleId="afffffffffff2" w:customStyle="1">
    <w:basedOn w:val="TableNormal3"/>
    <w:tblPr>
      <w:tblStyleRowBandSize w:val="1"/>
      <w:tblStyleColBandSize w:val="1"/>
      <w:tblCellMar>
        <w:top w:w="41.0" w:type="dxa"/>
        <w:left w:w="827.0" w:type="dxa"/>
        <w:right w:w="115.0" w:type="dxa"/>
      </w:tblCellMar>
    </w:tblPr>
  </w:style>
  <w:style w:type="table" w:styleId="afffffffffff3" w:customStyle="1">
    <w:basedOn w:val="TableNormal3"/>
    <w:tblPr>
      <w:tblStyleRowBandSize w:val="1"/>
      <w:tblStyleColBandSize w:val="1"/>
      <w:tblCellMar>
        <w:top w:w="41.0" w:type="dxa"/>
        <w:left w:w="827.0" w:type="dxa"/>
        <w:right w:w="115.0" w:type="dxa"/>
      </w:tblCellMar>
    </w:tblPr>
  </w:style>
  <w:style w:type="table" w:styleId="afffffffffff4" w:customStyle="1">
    <w:basedOn w:val="TableNormal3"/>
    <w:tblPr>
      <w:tblStyleRowBandSize w:val="1"/>
      <w:tblStyleColBandSize w:val="1"/>
      <w:tblCellMar>
        <w:top w:w="41.0" w:type="dxa"/>
        <w:left w:w="827.0" w:type="dxa"/>
        <w:right w:w="115.0" w:type="dxa"/>
      </w:tblCellMar>
    </w:tblPr>
  </w:style>
  <w:style w:type="table" w:styleId="afffffffffff5" w:customStyle="1">
    <w:basedOn w:val="TableNormal3"/>
    <w:tblPr>
      <w:tblStyleRowBandSize w:val="1"/>
      <w:tblStyleColBandSize w:val="1"/>
      <w:tblCellMar>
        <w:top w:w="41.0" w:type="dxa"/>
        <w:left w:w="827.0" w:type="dxa"/>
        <w:right w:w="115.0" w:type="dxa"/>
      </w:tblCellMar>
    </w:tblPr>
  </w:style>
  <w:style w:type="character" w:styleId="Mencinsinresolver2" w:customStyle="1">
    <w:name w:val="Mención sin resolver2"/>
    <w:basedOn w:val="Fuentedeprrafopredeter"/>
    <w:uiPriority w:val="99"/>
    <w:semiHidden w:val="1"/>
    <w:unhideWhenUsed w:val="1"/>
    <w:rsid w:val="005D4275"/>
    <w:rPr>
      <w:color w:val="605e5c"/>
      <w:shd w:color="auto" w:fill="e1dfdd" w:val="clear"/>
    </w:rPr>
  </w:style>
  <w:style w:type="table" w:styleId="Tablaconcuadrcula">
    <w:name w:val="Table Grid"/>
    <w:basedOn w:val="Tablanormal"/>
    <w:uiPriority w:val="39"/>
    <w:rsid w:val="009F2A2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 w:type="table" w:styleId="Table13">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seguridad.edomex.gob.mx/escuela_segura" TargetMode="External"/><Relationship Id="rId10" Type="http://schemas.openxmlformats.org/officeDocument/2006/relationships/hyperlink" Target="https://docs.google.com/forms/d/e/1FAIpQLSddaOE71y9o11XV3aMuoqvufGnJ60OxR18KBf12RPm5OxDqnw/viewform" TargetMode="External"/><Relationship Id="rId13" Type="http://schemas.openxmlformats.org/officeDocument/2006/relationships/hyperlink" Target="https://sseguridad.edomex.gob.mx/escuela_segura" TargetMode="External"/><Relationship Id="rId12" Type="http://schemas.openxmlformats.org/officeDocument/2006/relationships/hyperlink" Target="https://docs.google.com/forms/d/e/1FAIpQLSddaOE71y9o11XV3aMuoqvufGnJ60OxR18KBf12RPm5OxDqnw/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orms/d/e/1FAIpQLSddaOE71y9o11XV3aMuoqvufGnJ60OxR18KBf12RPm5OxDqnw/viewform?pli=1" TargetMode="External"/><Relationship Id="rId15" Type="http://schemas.openxmlformats.org/officeDocument/2006/relationships/image" Target="media/image2.jpg"/><Relationship Id="rId14" Type="http://schemas.openxmlformats.org/officeDocument/2006/relationships/image" Target="media/image1.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seguridad.edomex.gob.mx/escuela_segura" TargetMode="External"/><Relationship Id="rId8" Type="http://schemas.openxmlformats.org/officeDocument/2006/relationships/hyperlink" Target="https://sseguridad.edomex.gob.mx/escuela_segur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9NYXQWpaTotizT2vRmCrQR2I3A==">CgMxLjAyDmgucXh6bmlxeGt2ZnZkMgloLjFmb2I5dGUyCWguMzBqMHpsbDgAciExY1BOX3VVNGFYa3JWc0todHdJOWttNko0VUJFV3J1V0M=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2025-06-25T23:25:00Z</dcterms:created>
  <dc:creator>Jonathan Guillermo Munoz Acevedo</dc:creator>
</cp:coreProperties>
</file>